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4" w:rsidRPr="008757B4" w:rsidRDefault="008757B4" w:rsidP="008757B4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ab/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.02.2018г.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8757B4" w:rsidRPr="008757B4" w:rsidRDefault="008757B4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757B4" w:rsidRPr="008757B4" w:rsidRDefault="008757B4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757B4" w:rsidRPr="008757B4" w:rsidRDefault="008757B4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757B4" w:rsidRPr="008757B4" w:rsidRDefault="008757B4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8757B4" w:rsidRPr="008757B4" w:rsidRDefault="008757B4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757B4" w:rsidRPr="008757B4" w:rsidRDefault="008757B4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2648" w:rsidRPr="00552648" w:rsidRDefault="00552648" w:rsidP="008757B4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комплексного развития</w:t>
      </w:r>
    </w:p>
    <w:p w:rsidR="00552648" w:rsidRPr="008757B4" w:rsidRDefault="00552648" w:rsidP="005526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транспортной инфраструктуры</w:t>
      </w:r>
    </w:p>
    <w:p w:rsidR="00552648" w:rsidRPr="008757B4" w:rsidRDefault="00552648" w:rsidP="005526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МО «</w:t>
      </w:r>
      <w:proofErr w:type="spellStart"/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» на 2017 – 2021 годы и</w:t>
      </w:r>
    </w:p>
    <w:p w:rsidR="008757B4" w:rsidRPr="008757B4" w:rsidRDefault="00552648" w:rsidP="00875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57B4">
        <w:rPr>
          <w:rFonts w:ascii="Arial" w:eastAsia="Times New Roman" w:hAnsi="Arial" w:cs="Arial"/>
          <w:b/>
          <w:sz w:val="32"/>
          <w:szCs w:val="32"/>
          <w:lang w:eastAsia="ru-RU"/>
        </w:rPr>
        <w:t>с перспективой до 2032 года»</w:t>
      </w:r>
    </w:p>
    <w:p w:rsidR="00552648" w:rsidRPr="00552648" w:rsidRDefault="00552648" w:rsidP="00552648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экологичности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объектов транспортной  инфраструктуры, расположенных на территории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пунктом </w:t>
      </w:r>
      <w:r w:rsidRPr="008757B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 части 1 статьи 6,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33 Устава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End"/>
    </w:p>
    <w:p w:rsidR="00552648" w:rsidRPr="008757B4" w:rsidRDefault="00552648" w:rsidP="00552648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B73B8A" w:rsidP="008757B4">
      <w:pPr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552648" w:rsidRPr="008757B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комплексного развития транспортной инфраструктуры муниципального образования «КЫРМА» на 2017 – 2021 гг. и с перспективой до 2032 года. 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552648" w:rsidRPr="008757B4" w:rsidRDefault="00552648" w:rsidP="00552648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B73B8A" w:rsidRPr="008757B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880" w:rsidRPr="008757B4" w:rsidRDefault="003F5880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8757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1BB8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Default="00D11BB8" w:rsidP="008757B4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C7B" w:rsidRDefault="001C7C7B" w:rsidP="008757B4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B5E31" w:rsidRDefault="00EB5E31" w:rsidP="008757B4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Pr="008757B4" w:rsidRDefault="008757B4" w:rsidP="008757B4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keepNext/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552648" w:rsidRPr="008757B4" w:rsidRDefault="00B73B8A" w:rsidP="00552648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52648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2648" w:rsidRPr="008757B4" w:rsidRDefault="00B73B8A" w:rsidP="00552648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552648" w:rsidRPr="008757B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552648"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52648" w:rsidRPr="008757B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52648" w:rsidRPr="008757B4" w:rsidRDefault="00552648" w:rsidP="008757B4">
      <w:pPr>
        <w:keepNext/>
        <w:tabs>
          <w:tab w:val="left" w:pos="6660"/>
          <w:tab w:val="left" w:pos="8490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73B8A" w:rsidRPr="008757B4">
        <w:rPr>
          <w:rFonts w:ascii="Arial" w:eastAsia="Times New Roman" w:hAnsi="Arial" w:cs="Arial"/>
          <w:sz w:val="24"/>
          <w:szCs w:val="24"/>
          <w:lang w:eastAsia="ru-RU"/>
        </w:rPr>
        <w:t>06.02.2018г.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73B8A" w:rsidRPr="008757B4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ind w:hanging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</w:t>
      </w:r>
      <w:r w:rsidR="00D11BB8" w:rsidRPr="008757B4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 развития</w:t>
      </w:r>
      <w:r w:rsidRPr="008757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систем транспортной инфраструктуры Муниципального образования «</w:t>
      </w:r>
      <w:proofErr w:type="spellStart"/>
      <w:r w:rsidRPr="008757B4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на 2017 –2021 </w:t>
      </w:r>
      <w:proofErr w:type="spellStart"/>
      <w:r w:rsidRPr="008757B4">
        <w:rPr>
          <w:rFonts w:ascii="Arial" w:eastAsia="Times New Roman" w:hAnsi="Arial" w:cs="Arial"/>
          <w:b/>
          <w:sz w:val="24"/>
          <w:szCs w:val="24"/>
          <w:lang w:eastAsia="ru-RU"/>
        </w:rPr>
        <w:t>г.г</w:t>
      </w:r>
      <w:proofErr w:type="spellEnd"/>
      <w:r w:rsidRPr="008757B4">
        <w:rPr>
          <w:rFonts w:ascii="Arial" w:eastAsia="Times New Roman" w:hAnsi="Arial" w:cs="Arial"/>
          <w:b/>
          <w:sz w:val="24"/>
          <w:szCs w:val="24"/>
          <w:lang w:eastAsia="ru-RU"/>
        </w:rPr>
        <w:t>. и с перспективой до 2032 года</w:t>
      </w:r>
      <w:r w:rsidRPr="008757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552648" w:rsidRPr="008757B4" w:rsidRDefault="00552648" w:rsidP="00552648">
      <w:pPr>
        <w:tabs>
          <w:tab w:val="left" w:pos="39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Pr="008757B4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7B4" w:rsidRPr="008757B4" w:rsidRDefault="008757B4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tabs>
          <w:tab w:val="left" w:pos="39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с.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Байша</w:t>
      </w:r>
      <w:proofErr w:type="spellEnd"/>
    </w:p>
    <w:p w:rsidR="00552648" w:rsidRPr="008757B4" w:rsidRDefault="00552648" w:rsidP="005526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СОДЕРЖАНИЕ</w:t>
      </w:r>
    </w:p>
    <w:p w:rsidR="00552648" w:rsidRPr="008757B4" w:rsidRDefault="00552648" w:rsidP="005526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Введение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ПАСПОРТ ПРОГРАММЫ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Характеристика существующего состояния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Прогноз транспортного спроса, изменения объемов и характера передвижения населения и перевозов грузов на территории МО «</w:t>
      </w:r>
      <w:proofErr w:type="spell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 Перечень и очередность реализации мероприятий по развитию транспортной инфраструктуры поселения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 Оценка объемов и источников финансирования мероприятий развития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</w:t>
      </w:r>
      <w:r w:rsidR="00D11BB8"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 Оценка эффективности мероприятий развития транспортной инфраструктуры на территории МО «</w:t>
      </w:r>
      <w:proofErr w:type="spell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».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8.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552648" w:rsidRPr="008757B4" w:rsidRDefault="00552648" w:rsidP="00552648">
      <w:pPr>
        <w:spacing w:after="150" w:line="238" w:lineRule="atLeast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ВВЕДЕНИЕ</w:t>
      </w:r>
    </w:p>
    <w:p w:rsidR="00552648" w:rsidRPr="008757B4" w:rsidRDefault="00552648" w:rsidP="00552648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Программа комплексного развития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» на период с 2017 -2021 </w:t>
      </w:r>
      <w:proofErr w:type="spell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</w:t>
      </w:r>
      <w:proofErr w:type="gramStart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.г</w:t>
      </w:r>
      <w:proofErr w:type="spellEnd"/>
      <w:proofErr w:type="gramEnd"/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с перспективой до 2032 года разработана на основании следующих документов;</w:t>
      </w:r>
    </w:p>
    <w:p w:rsidR="00552648" w:rsidRPr="008757B4" w:rsidRDefault="00552648" w:rsidP="00552648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552648" w:rsidRPr="008757B4" w:rsidTr="00552648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2648" w:rsidRPr="008757B4" w:rsidRDefault="005526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8757B4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№ 131-ФЗ</w:t>
              </w:r>
            </w:hyperlink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52648" w:rsidRPr="008757B4" w:rsidRDefault="0055264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552648" w:rsidRPr="008757B4" w:rsidRDefault="00552648">
            <w:pPr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</w:tbl>
    <w:p w:rsidR="00552648" w:rsidRPr="008757B4" w:rsidRDefault="00552648" w:rsidP="00552648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Программа определяет основные направления развития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», в том числе, социально 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Цели и задачи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программы –</w:t>
      </w: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</w:t>
      </w: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552648" w:rsidRPr="008757B4" w:rsidRDefault="00552648" w:rsidP="00552648">
      <w:pPr>
        <w:suppressAutoHyphens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p w:rsidR="00552648" w:rsidRPr="008757B4" w:rsidRDefault="00552648" w:rsidP="00552648">
      <w:pPr>
        <w:suppressAutoHyphens/>
        <w:spacing w:before="120" w:after="0" w:line="240" w:lineRule="auto"/>
        <w:ind w:left="720"/>
        <w:jc w:val="center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  <w:r w:rsidRPr="008757B4"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  <w:t>ПАСПОРТ ПРОГРАММЫ</w:t>
      </w:r>
    </w:p>
    <w:p w:rsidR="00552648" w:rsidRPr="008757B4" w:rsidRDefault="00552648" w:rsidP="00552648">
      <w:pPr>
        <w:suppressAutoHyphens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838"/>
        <w:gridCol w:w="5222"/>
      </w:tblGrid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 транспортной инфраструктуры МО «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на 2017 – 2021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 с перспективой до 2032 года (далее – Программа)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транспортного обслуживания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48" w:rsidRPr="008757B4" w:rsidRDefault="00552648">
            <w:pPr>
              <w:keepNext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552648" w:rsidRPr="008757B4" w:rsidRDefault="00552648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-формирование условий для социально- экономического развития</w:t>
            </w:r>
            <w:proofErr w:type="gramStart"/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.,</w:t>
            </w:r>
            <w:proofErr w:type="gramEnd"/>
          </w:p>
          <w:p w:rsidR="00552648" w:rsidRPr="008757B4" w:rsidRDefault="00552648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proofErr w:type="gramStart"/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52648" w:rsidRPr="008757B4" w:rsidRDefault="00552648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552648" w:rsidRPr="008757B4" w:rsidRDefault="00552648">
            <w:pPr>
              <w:widowControl w:val="0"/>
              <w:suppressAutoHyphens/>
              <w:autoSpaceDE w:val="0"/>
              <w:spacing w:after="0" w:line="24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keepNext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показатели</w:t>
            </w:r>
          </w:p>
          <w:p w:rsidR="00552648" w:rsidRPr="008757B4" w:rsidRDefault="00552648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ar-SA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реализации Программы с 2017  по 2032 годы.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8757B4" w:rsidRDefault="0055264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552648" w:rsidRPr="008757B4" w:rsidRDefault="00552648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составляет:</w:t>
            </w:r>
          </w:p>
          <w:p w:rsidR="00552648" w:rsidRPr="008757B4" w:rsidRDefault="00552648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2017 год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1300,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ыс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552648" w:rsidRPr="008757B4" w:rsidRDefault="0055264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мероприятий; - капитальный, текущий  ремонт улиц и дорог местного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;с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ямочным ремонтом, </w:t>
            </w:r>
          </w:p>
          <w:p w:rsidR="00552648" w:rsidRPr="008757B4" w:rsidRDefault="0055264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2018год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00,0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ыс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мероприятий;текущий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улиц и дорог местного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значения;содержание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дорог, с регулярным градированием, ямочным ремонтом, установка дорожных знаков, </w:t>
            </w:r>
          </w:p>
          <w:p w:rsidR="00552648" w:rsidRPr="008757B4" w:rsidRDefault="0055264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2019год 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70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;с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2020год 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80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т.р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содержание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2021год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содержание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552648" w:rsidRPr="008757B4" w:rsidRDefault="00552648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2022-2026 года</w:t>
            </w:r>
            <w:r w:rsidRPr="008757B4">
              <w:rPr>
                <w:rFonts w:ascii="Arial" w:hAnsi="Arial" w:cs="Arial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500,0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эксплуатационных и ремонтных мероприятий; - капитальный, текущий ремонт улиц и дорог местного значения; содержание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2027-2030 года</w:t>
            </w:r>
            <w:r w:rsidRPr="008757B4">
              <w:rPr>
                <w:rFonts w:ascii="Arial" w:hAnsi="Arial" w:cs="Arial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000,0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содержание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8757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2031-2032 года</w:t>
            </w:r>
            <w:r w:rsidRPr="008757B4">
              <w:rPr>
                <w:rFonts w:ascii="Arial" w:hAnsi="Arial" w:cs="Arial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Программы составляет </w:t>
            </w:r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500,0 </w:t>
            </w:r>
            <w:proofErr w:type="spell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>.р</w:t>
            </w:r>
            <w:proofErr w:type="gram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уб</w:t>
            </w:r>
            <w:proofErr w:type="spellEnd"/>
            <w:r w:rsidR="008E7413" w:rsidRPr="008757B4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Pr="008757B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содержание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552648" w:rsidRPr="008757B4" w:rsidRDefault="0055264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552648" w:rsidRPr="008757B4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48" w:rsidRPr="008757B4" w:rsidRDefault="00552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Программы к 2032 году предполагается:</w:t>
            </w:r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развитие транспортной инфраструктуры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транспорта общего пользования:</w:t>
            </w:r>
          </w:p>
          <w:p w:rsidR="00552648" w:rsidRPr="008757B4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развитие сети дорог поселении </w:t>
            </w:r>
          </w:p>
          <w:p w:rsidR="00552648" w:rsidRPr="008757B4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Снижение негативного воздействия транспорта на окружающую среду и здоровья населения.</w:t>
            </w:r>
          </w:p>
          <w:p w:rsidR="00552648" w:rsidRPr="008757B4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Повышение безопасности дорожного движения.</w:t>
            </w:r>
          </w:p>
          <w:p w:rsidR="00552648" w:rsidRPr="008757B4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552648" w:rsidRPr="008757B4" w:rsidRDefault="00552648" w:rsidP="0055264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ind w:left="709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lastRenderedPageBreak/>
        <w:t>1. Характеристика существующего состояния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».</w:t>
      </w:r>
    </w:p>
    <w:p w:rsidR="00552648" w:rsidRPr="008757B4" w:rsidRDefault="00552648" w:rsidP="00552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Муниципальное образование «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наделено статусом сельского поселения Законом Усть-Ордынского Бурятского автономного округа от 30 декабря 2004 года № 67-оз «О статусе и границах муниципальных образований «О статусе и границах муниципальных образований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Аларского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Баяндаевского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Нукутского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Осинского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Эхирит-Булагатского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районов Иркутской области»</w:t>
      </w:r>
    </w:p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 входит в состав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 Общая площадь составляет </w:t>
      </w:r>
      <w:r w:rsidR="00526535" w:rsidRPr="008757B4">
        <w:rPr>
          <w:rFonts w:ascii="Arial" w:eastAsia="Times New Roman" w:hAnsi="Arial" w:cs="Arial"/>
          <w:sz w:val="24"/>
          <w:szCs w:val="24"/>
          <w:lang w:eastAsia="ru-RU"/>
        </w:rPr>
        <w:t>67066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земли личного подсобного хозяйства – </w:t>
      </w:r>
      <w:r w:rsidR="00526535" w:rsidRPr="00EB5E3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6535" w:rsidRPr="008757B4">
        <w:rPr>
          <w:rFonts w:ascii="Arial" w:eastAsia="Times New Roman" w:hAnsi="Arial" w:cs="Arial"/>
          <w:sz w:val="24"/>
          <w:szCs w:val="24"/>
          <w:lang w:eastAsia="ru-RU"/>
        </w:rPr>
        <w:t>050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га, земли населённых пунктов – </w:t>
      </w:r>
      <w:r w:rsidR="00526535" w:rsidRPr="008757B4">
        <w:rPr>
          <w:rFonts w:ascii="Arial" w:eastAsia="Times New Roman" w:hAnsi="Arial" w:cs="Arial"/>
          <w:sz w:val="24"/>
          <w:szCs w:val="24"/>
          <w:lang w:eastAsia="ru-RU"/>
        </w:rPr>
        <w:t>351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га, площадь земель сельскохозяйственных угодий – </w:t>
      </w:r>
      <w:r w:rsidR="00D11BB8" w:rsidRPr="008757B4">
        <w:rPr>
          <w:rFonts w:ascii="Arial" w:eastAsia="Times New Roman" w:hAnsi="Arial" w:cs="Arial"/>
          <w:sz w:val="24"/>
          <w:szCs w:val="24"/>
          <w:lang w:eastAsia="ru-RU"/>
        </w:rPr>
        <w:t>4835</w:t>
      </w:r>
      <w:r w:rsidR="00526535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га, земли. </w:t>
      </w:r>
      <w:r w:rsidRPr="008757B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муниципального образования входит 4 населенных пункта: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айша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д.Тухум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д.Малан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д.Нагатай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..</w:t>
      </w:r>
    </w:p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находятся 7 крестьянско-фермерских  хозяйств, 1 индивидуальный предприниматель, ООО «Лесной ресурс».</w:t>
      </w:r>
    </w:p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Климат резко-континентальный, с холодной продолжительной зимой и коротким жарким летом. Средняя годовая температура равна -4,0° С. Наиболее тёплым является июль (+18,4°С), а наиболее холодным – январь (-35-45°С). Среднегодовая сумма осадков 300-350 мм/год, может колебаться от </w:t>
      </w:r>
      <w:smartTag w:uri="urn:schemas-microsoft-com:office:smarttags" w:element="metricconverter">
        <w:smartTagPr>
          <w:attr w:name="ProductID" w:val="422 мм"/>
        </w:smartTagPr>
        <w:r w:rsidRPr="008757B4">
          <w:rPr>
            <w:rFonts w:ascii="Arial" w:eastAsia="Times New Roman" w:hAnsi="Arial" w:cs="Arial"/>
            <w:sz w:val="24"/>
            <w:szCs w:val="24"/>
            <w:lang w:eastAsia="ru-RU"/>
          </w:rPr>
          <w:t>422 мм</w:t>
        </w:r>
      </w:smartTag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40 мм"/>
        </w:smartTagPr>
        <w:r w:rsidRPr="008757B4">
          <w:rPr>
            <w:rFonts w:ascii="Arial" w:eastAsia="Times New Roman" w:hAnsi="Arial" w:cs="Arial"/>
            <w:sz w:val="24"/>
            <w:szCs w:val="24"/>
            <w:lang w:eastAsia="ru-RU"/>
          </w:rPr>
          <w:t>140 мм</w:t>
        </w:r>
      </w:smartTag>
      <w:r w:rsidRPr="008757B4">
        <w:rPr>
          <w:rFonts w:ascii="Arial" w:eastAsia="Times New Roman" w:hAnsi="Arial" w:cs="Arial"/>
          <w:sz w:val="24"/>
          <w:szCs w:val="24"/>
          <w:lang w:eastAsia="ru-RU"/>
        </w:rPr>
        <w:t>. Наиболее интенсивные осадки выпадают в июле-сентябре. За последние несколько лет климат претерпел некоторые изменения, лето выдается жарким, засушливым. В данных природных условиях населению трудно заниматься животноводством, сельскохозяйственным производством, основные затраты приходятся на заготов</w:t>
      </w:r>
      <w:r w:rsidR="00E42E5A" w:rsidRPr="008757B4">
        <w:rPr>
          <w:rFonts w:ascii="Arial" w:eastAsia="Times New Roman" w:hAnsi="Arial" w:cs="Arial"/>
          <w:sz w:val="24"/>
          <w:szCs w:val="24"/>
          <w:lang w:eastAsia="ru-RU"/>
        </w:rPr>
        <w:t>ку кормов, на приобретение ГСМ.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8757B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Автомобильный транспорт</w:t>
      </w:r>
    </w:p>
    <w:p w:rsidR="00552648" w:rsidRPr="008757B4" w:rsidRDefault="00552648" w:rsidP="00552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Внешние связи МО  «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поддерживаются круглогодично автомобильным транспортом. Расстояние </w:t>
      </w:r>
      <w:proofErr w:type="gram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proofErr w:type="gram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Байша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proofErr w:type="gram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центра района с. Баяндай по автодороге – 60 км, расстояние от с.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Байша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 об</w:t>
      </w:r>
      <w:r w:rsidR="00E42E5A"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ластного центра г. Иркутск – 200</w:t>
      </w: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км.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униципально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proofErr w:type="gram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расположена</w:t>
      </w:r>
      <w:proofErr w:type="gram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в стороне  от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трасс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Иркутск-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Качуг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Качугский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тракт)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на расстоянии 25 км.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Одной из основных проблем автодорожной сети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Сооружения и сообщения речного и воздушного транспорта в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отсутствуют.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ind w:left="1260"/>
        <w:jc w:val="center"/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1. Прогноз транспортного спроса, изменения объемов и характера передвижения населения и перевозов груза на территории поселения</w:t>
      </w:r>
      <w:r w:rsidRPr="008757B4">
        <w:rPr>
          <w:rFonts w:ascii="Arial" w:eastAsia="Times New Roman" w:hAnsi="Arial" w:cs="Arial"/>
          <w:bCs/>
          <w:color w:val="242424"/>
          <w:sz w:val="24"/>
          <w:szCs w:val="24"/>
          <w:lang w:eastAsia="ru-RU"/>
        </w:rPr>
        <w:t>.</w:t>
      </w:r>
    </w:p>
    <w:p w:rsidR="00552648" w:rsidRPr="008757B4" w:rsidRDefault="00552648" w:rsidP="00552648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В состав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 входят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пунктов. </w:t>
      </w:r>
    </w:p>
    <w:p w:rsidR="00552648" w:rsidRPr="008757B4" w:rsidRDefault="00552648" w:rsidP="00552648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1. Расстояния между с.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Байша</w:t>
      </w:r>
      <w:proofErr w:type="spell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и населенными пунктами.</w:t>
      </w:r>
    </w:p>
    <w:p w:rsidR="00552648" w:rsidRPr="008757B4" w:rsidRDefault="00552648" w:rsidP="00552648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552648" w:rsidRPr="008757B4" w:rsidTr="00552648">
        <w:trPr>
          <w:trHeight w:val="1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 w:rsidP="00876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Расстояние до </w:t>
            </w:r>
            <w:proofErr w:type="spellStart"/>
            <w:r w:rsidR="0087647D" w:rsidRPr="008757B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="0087647D" w:rsidRPr="008757B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.Б</w:t>
            </w:r>
            <w:proofErr w:type="gramEnd"/>
            <w:r w:rsidR="0087647D" w:rsidRPr="008757B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айша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757B4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552648" w:rsidRPr="008757B4" w:rsidTr="005526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 w:rsidP="00876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7647D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Тухум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2830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</w:t>
            </w:r>
          </w:p>
        </w:tc>
      </w:tr>
      <w:tr w:rsidR="00552648" w:rsidRPr="008757B4" w:rsidTr="005526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876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Д.Малан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7647D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7647D" w:rsidRPr="008757B4" w:rsidTr="005526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D" w:rsidRPr="008757B4" w:rsidRDefault="00876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Д.Нагатай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D" w:rsidRPr="008757B4" w:rsidRDefault="00D92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87647D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552648" w:rsidRPr="008757B4" w:rsidRDefault="00552648" w:rsidP="0055264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Населенные пункты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Основными т</w:t>
      </w:r>
      <w:r w:rsidR="00283027" w:rsidRPr="008757B4">
        <w:rPr>
          <w:rFonts w:ascii="Arial" w:eastAsia="Times New Roman" w:hAnsi="Arial" w:cs="Arial"/>
          <w:sz w:val="24"/>
          <w:szCs w:val="24"/>
          <w:lang w:eastAsia="ru-RU"/>
        </w:rPr>
        <w:t>ранспортными артериями в деревне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главные улицы и основные улицы в жилой застройке. Такими улицами являются: с.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Байша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–ул. 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, ул.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Молодежная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, ул.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Партизанская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, ул.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Ольтрог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.Е</w:t>
      </w:r>
      <w:proofErr w:type="gram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врейская</w:t>
      </w:r>
      <w:proofErr w:type="spell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ул.Школьная</w:t>
      </w:r>
      <w:proofErr w:type="spell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ул.Заречная</w:t>
      </w:r>
      <w:proofErr w:type="spell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ул.Лесная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; д.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Тухум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–ул.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Центральная,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ул.Заозерная</w:t>
      </w:r>
      <w:proofErr w:type="spell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ул.Лесная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Малан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–ул. </w:t>
      </w:r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>д.Нагатай</w:t>
      </w:r>
      <w:proofErr w:type="spellEnd"/>
      <w:r w:rsidR="0087647D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ул. Центральная. Данные улицы обеспечивают связь внутри жилых территорий и с главными улицами по направлениям с интенсивным движением.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</w:t>
      </w:r>
      <w:r w:rsidR="00EB5E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Таблица 2. Перечень автомобильных дорог общего пользования местного значения, в границах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tbl>
      <w:tblPr>
        <w:tblW w:w="0" w:type="auto"/>
        <w:tblBorders>
          <w:top w:val="single" w:sz="4" w:space="0" w:color="323250"/>
          <w:left w:val="single" w:sz="4" w:space="0" w:color="323250"/>
          <w:bottom w:val="single" w:sz="4" w:space="0" w:color="323250"/>
          <w:right w:val="single" w:sz="4" w:space="0" w:color="323250"/>
          <w:insideH w:val="single" w:sz="4" w:space="0" w:color="323250"/>
          <w:insideV w:val="single" w:sz="4" w:space="0" w:color="323250"/>
        </w:tblBorders>
        <w:tblLook w:val="04A0" w:firstRow="1" w:lastRow="0" w:firstColumn="1" w:lastColumn="0" w:noHBand="0" w:noVBand="1"/>
      </w:tblPr>
      <w:tblGrid>
        <w:gridCol w:w="1387"/>
        <w:gridCol w:w="573"/>
        <w:gridCol w:w="2078"/>
        <w:gridCol w:w="2121"/>
        <w:gridCol w:w="1653"/>
        <w:gridCol w:w="1759"/>
      </w:tblGrid>
      <w:tr w:rsidR="00552648" w:rsidRPr="008757B4" w:rsidTr="00552648">
        <w:tc>
          <w:tcPr>
            <w:tcW w:w="9571" w:type="dxa"/>
            <w:gridSpan w:val="6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МУНИЦИПАЛЬНОГО ОБРАЗОВАНИЯ «КЫРМА» </w:t>
            </w:r>
          </w:p>
        </w:tc>
      </w:tr>
      <w:tr w:rsidR="00552648" w:rsidRPr="008757B4" w:rsidTr="00552648">
        <w:tc>
          <w:tcPr>
            <w:tcW w:w="1450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>МО «</w:t>
            </w:r>
            <w:proofErr w:type="spellStart"/>
            <w:r w:rsidRPr="008757B4">
              <w:rPr>
                <w:rFonts w:ascii="Arial" w:hAnsi="Arial" w:cs="Arial"/>
                <w:b/>
                <w:sz w:val="24"/>
                <w:szCs w:val="24"/>
              </w:rPr>
              <w:t>Кырма</w:t>
            </w:r>
            <w:proofErr w:type="spellEnd"/>
            <w:r w:rsidRPr="008757B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63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8757B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757B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1798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автомобильной дороги общего пользования местного значения </w:t>
            </w:r>
          </w:p>
        </w:tc>
        <w:tc>
          <w:tcPr>
            <w:tcW w:w="4113" w:type="dxa"/>
            <w:gridSpan w:val="2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 xml:space="preserve">Информация об автомобильной дороге </w:t>
            </w:r>
          </w:p>
        </w:tc>
      </w:tr>
      <w:tr w:rsidR="00552648" w:rsidRPr="008757B4" w:rsidTr="00552648">
        <w:trPr>
          <w:trHeight w:val="1426"/>
        </w:trPr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>Покрытие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>Расстояние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757B4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 w:rsidRPr="008757B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37AFE" w:rsidRPr="008757B4">
              <w:rPr>
                <w:rFonts w:ascii="Arial" w:hAnsi="Arial" w:cs="Arial"/>
                <w:b/>
                <w:sz w:val="24"/>
                <w:szCs w:val="24"/>
              </w:rPr>
              <w:t>Б</w:t>
            </w:r>
            <w:proofErr w:type="gramEnd"/>
            <w:r w:rsidR="00037AFE" w:rsidRPr="008757B4">
              <w:rPr>
                <w:rFonts w:ascii="Arial" w:hAnsi="Arial" w:cs="Arial"/>
                <w:b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</w:t>
            </w:r>
            <w:r w:rsidR="00037AFE" w:rsidRPr="008757B4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8757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283027" w:rsidP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 ул. </w:t>
            </w:r>
            <w:r w:rsidR="00037AFE" w:rsidRPr="008757B4">
              <w:rPr>
                <w:rFonts w:ascii="Arial" w:hAnsi="Arial" w:cs="Arial"/>
                <w:sz w:val="24"/>
                <w:szCs w:val="24"/>
              </w:rPr>
              <w:t>Молодежная</w:t>
            </w:r>
            <w:r w:rsidRPr="008757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</w:t>
            </w:r>
            <w:r w:rsidR="00037AFE" w:rsidRPr="008757B4">
              <w:rPr>
                <w:rFonts w:ascii="Arial" w:hAnsi="Arial" w:cs="Arial"/>
                <w:sz w:val="24"/>
                <w:szCs w:val="24"/>
              </w:rPr>
              <w:t>Партизанская</w:t>
            </w:r>
            <w:r w:rsidRPr="008757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="00037AFE" w:rsidRPr="008757B4">
              <w:rPr>
                <w:rFonts w:ascii="Arial" w:hAnsi="Arial" w:cs="Arial"/>
                <w:sz w:val="24"/>
                <w:szCs w:val="24"/>
              </w:rPr>
              <w:t>Ольтрог</w:t>
            </w:r>
            <w:proofErr w:type="spellEnd"/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37AFE" w:rsidRPr="008757B4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Еврейская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28302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757B4">
              <w:rPr>
                <w:rFonts w:ascii="Arial" w:hAnsi="Arial" w:cs="Arial"/>
                <w:sz w:val="24"/>
                <w:szCs w:val="24"/>
                <w:u w:val="single"/>
              </w:rPr>
              <w:t>Гравийное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37AFE" w:rsidRPr="008757B4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Школьная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283027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37AFE" w:rsidRPr="008757B4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Автомобильная дорога по ул. Заречная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283027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28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37AFE" w:rsidRPr="008757B4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Автомобильная дорога по ул. Лесная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7B4">
              <w:rPr>
                <w:rFonts w:ascii="Arial" w:hAnsi="Arial" w:cs="Arial"/>
                <w:b/>
                <w:sz w:val="24"/>
                <w:szCs w:val="24"/>
              </w:rPr>
              <w:t xml:space="preserve">д. </w:t>
            </w:r>
            <w:proofErr w:type="spellStart"/>
            <w:r w:rsidR="00037AFE" w:rsidRPr="008757B4">
              <w:rPr>
                <w:rFonts w:ascii="Arial" w:hAnsi="Arial" w:cs="Arial"/>
                <w:b/>
                <w:sz w:val="24"/>
                <w:szCs w:val="24"/>
              </w:rPr>
              <w:t>Тухум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037AFE" w:rsidP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Центральная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E36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 ул. </w:t>
            </w:r>
            <w:r w:rsidR="00037AFE" w:rsidRPr="008757B4">
              <w:rPr>
                <w:rFonts w:ascii="Arial" w:hAnsi="Arial" w:cs="Arial"/>
                <w:sz w:val="24"/>
                <w:szCs w:val="24"/>
              </w:rPr>
              <w:t>Заозерная</w:t>
            </w:r>
            <w:r w:rsidRPr="008757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E36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 ул. </w:t>
            </w:r>
            <w:r w:rsidR="00037AFE" w:rsidRPr="008757B4">
              <w:rPr>
                <w:rFonts w:ascii="Arial" w:hAnsi="Arial" w:cs="Arial"/>
                <w:sz w:val="24"/>
                <w:szCs w:val="24"/>
              </w:rPr>
              <w:t>Лесная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E36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2648" w:rsidRPr="008757B4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7B4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757B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8757B4">
              <w:rPr>
                <w:rFonts w:ascii="Arial" w:hAnsi="Arial" w:cs="Arial"/>
                <w:sz w:val="24"/>
                <w:szCs w:val="24"/>
              </w:rPr>
              <w:t>алан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Автомобильная дорога по  ул. </w:t>
            </w:r>
            <w:r w:rsidR="00037AFE" w:rsidRPr="008757B4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8757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E36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37AFE" w:rsidRPr="008757B4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 w:rsidP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7B4">
              <w:rPr>
                <w:rFonts w:ascii="Arial" w:hAnsi="Arial" w:cs="Arial"/>
                <w:sz w:val="24"/>
                <w:szCs w:val="24"/>
              </w:rPr>
              <w:t>Д.Нагатай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 w:rsidP="00037AFE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Автомобильная дорога по  ул. Центральная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037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8757B4" w:rsidRDefault="00E36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552648" w:rsidRPr="008757B4" w:rsidTr="00552648">
        <w:trPr>
          <w:trHeight w:val="134"/>
        </w:trPr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8757B4" w:rsidRDefault="00037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16</w:t>
            </w:r>
            <w:r w:rsidR="00552648" w:rsidRPr="008757B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8757B4" w:rsidRDefault="00552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648" w:rsidRPr="008757B4" w:rsidRDefault="00552648" w:rsidP="0055264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left="6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Таблица 3. Общие данные по улично-дорожной сети в пределах МО.</w:t>
      </w:r>
    </w:p>
    <w:p w:rsidR="00552648" w:rsidRPr="008757B4" w:rsidRDefault="00552648" w:rsidP="0055264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861"/>
        <w:gridCol w:w="2305"/>
        <w:gridCol w:w="2691"/>
      </w:tblGrid>
      <w:tr w:rsidR="00552648" w:rsidRPr="008757B4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на 2016 г.</w:t>
            </w:r>
          </w:p>
        </w:tc>
      </w:tr>
      <w:tr w:rsidR="00552648" w:rsidRPr="008757B4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протяжение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037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552648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552648" w:rsidRPr="008757B4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Плотность улично-дорожной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км/км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застроенной территории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результате анализа улично-дорожной сети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выявлены следующие причины, усложняющие работу транспорта: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неудовлетворительное техническое состояние  улиц и дорог;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недостаточность ширины проезжей части (4-6 м);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значительная протяженность грунтовых дорог;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отсутствие дифференцирования улиц по назначению;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отсутствие искусственного освещения;</w:t>
      </w:r>
    </w:p>
    <w:p w:rsidR="00552648" w:rsidRPr="008757B4" w:rsidRDefault="00552648" w:rsidP="0055264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отсутствие тротуаров необходимых для упорядочения движения пешеходов</w:t>
      </w:r>
    </w:p>
    <w:p w:rsidR="00552648" w:rsidRPr="008757B4" w:rsidRDefault="00552648" w:rsidP="00552648">
      <w:pPr>
        <w:spacing w:after="150" w:line="238" w:lineRule="atLeast"/>
        <w:ind w:left="1969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1. Прогноз транспортного спроса, изменения объемов и характера передвижения населения и перевозов грузов на территории.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объекты транспортной инфраструктуры отсутствуют.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i/>
          <w:sz w:val="24"/>
          <w:szCs w:val="24"/>
          <w:lang w:eastAsia="ru-RU"/>
        </w:rPr>
        <w:t>Анализ современной обеспеченности объектами транспортной инфраструктуры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52648" w:rsidRPr="008757B4" w:rsidRDefault="00552648" w:rsidP="00E36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«Градостроительство. Планировка и застройка городских и сельских поселений. Актуализированная редакция СНиП 2.05.02-85», так: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согласно п. 11.27, потребность в АЗС составляет: две топливораздаточных колонок на 1200 легковых автомобилей;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согласно п. 11.26, потребность в СТО составляет: два поста на 200 легковых автомобилей;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СТО - мощностью один пост;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АЗС - мощностью одна топливораздаточная колонка.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гаражей на сегодняшний день не требуется, так как дома в жилой застройке имеют 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квартирные участки, обеспечивающие потребность в местах постоянного хранения индивидуальных легковых автомобилей.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ind w:firstLine="709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Схемой территориального планирования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целью создания условий для устойчивого и безопасного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функционирования транспортного комплекса на территории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предусмотрено: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». Карте населенных пунктов: с. </w:t>
      </w:r>
      <w:proofErr w:type="spellStart"/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>Байша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>Тухум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>Малан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037AFE" w:rsidRPr="008757B4">
        <w:rPr>
          <w:rFonts w:ascii="Arial" w:eastAsia="Times New Roman" w:hAnsi="Arial" w:cs="Arial"/>
          <w:sz w:val="24"/>
          <w:szCs w:val="24"/>
          <w:lang w:eastAsia="ru-RU"/>
        </w:rPr>
        <w:t>агатай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с отображением планируемых объектов теплоснабжения, водоснабжения, водоотведения, электроснабжения, связи и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»».</w:t>
      </w:r>
    </w:p>
    <w:p w:rsidR="00552648" w:rsidRPr="008757B4" w:rsidRDefault="00552648" w:rsidP="00552648">
      <w:pPr>
        <w:suppressAutoHyphens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52648" w:rsidRPr="008757B4" w:rsidRDefault="00552648" w:rsidP="00552648">
      <w:pPr>
        <w:suppressAutoHyphens/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ЦЕЛЕВЫЕ ПОКАЗАТЕЛИ РАЗВИТИЯ ТРАНСПОРТНОЙ ИНФРАСТРУКТУРЫ</w:t>
      </w:r>
    </w:p>
    <w:p w:rsidR="00552648" w:rsidRPr="008757B4" w:rsidRDefault="00552648" w:rsidP="00552648">
      <w:pPr>
        <w:suppressAutoHyphens/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 </w:t>
      </w:r>
    </w:p>
    <w:p w:rsidR="00552648" w:rsidRPr="008757B4" w:rsidRDefault="00552648" w:rsidP="00552648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Целевые индикаторы и показатели развития системы транспортной инфраструктуры муниципального образования «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552648" w:rsidRPr="008757B4" w:rsidRDefault="00552648" w:rsidP="0055264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648" w:rsidRPr="008757B4" w:rsidRDefault="00552648" w:rsidP="00552648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8757B4">
        <w:rPr>
          <w:rFonts w:ascii="Arial" w:hAnsi="Arial" w:cs="Arial"/>
          <w:sz w:val="24"/>
          <w:szCs w:val="24"/>
          <w:lang w:eastAsia="ar-SA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21"/>
        <w:gridCol w:w="2127"/>
        <w:gridCol w:w="806"/>
        <w:gridCol w:w="946"/>
        <w:gridCol w:w="900"/>
        <w:gridCol w:w="946"/>
        <w:gridCol w:w="900"/>
        <w:gridCol w:w="900"/>
        <w:gridCol w:w="854"/>
      </w:tblGrid>
      <w:tr w:rsidR="00552648" w:rsidRPr="008757B4" w:rsidTr="00552648">
        <w:trPr>
          <w:trHeight w:val="315"/>
          <w:tblHeader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Группа индикаторов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552648" w:rsidRPr="008757B4" w:rsidTr="00552648">
        <w:trPr>
          <w:cantSplit/>
          <w:trHeight w:val="868"/>
        </w:trPr>
        <w:tc>
          <w:tcPr>
            <w:tcW w:w="2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доступности для населения транспортных слуг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автомобильных улиц и дорог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552648" w:rsidRPr="008757B4" w:rsidTr="00552648">
        <w:trPr>
          <w:cantSplit/>
          <w:trHeight w:val="735"/>
        </w:trPr>
        <w:tc>
          <w:tcPr>
            <w:tcW w:w="2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Улучшенная структура уличн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52648" w:rsidRPr="008757B4" w:rsidTr="00552648">
        <w:trPr>
          <w:trHeight w:val="821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спроса на развитие уличн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8757B4" w:rsidRDefault="00552648">
            <w:pPr>
              <w:rPr>
                <w:rFonts w:ascii="Arial" w:hAnsi="Arial" w:cs="Arial"/>
                <w:sz w:val="24"/>
                <w:szCs w:val="24"/>
              </w:rPr>
            </w:pPr>
            <w:r w:rsidRPr="008757B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val="945"/>
        </w:trPr>
        <w:tc>
          <w:tcPr>
            <w:tcW w:w="2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степени охвата потребителей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дорожной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Транспортная обеспеченность 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52648" w:rsidRPr="008757B4" w:rsidTr="00552648">
        <w:trPr>
          <w:trHeight w:val="617"/>
        </w:trPr>
        <w:tc>
          <w:tcPr>
            <w:tcW w:w="2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52648" w:rsidRPr="008757B4" w:rsidTr="00552648">
        <w:trPr>
          <w:trHeight w:val="404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надежности уличн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реконструкции сетей (за год)*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</w:tr>
    </w:tbl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ind w:firstLine="709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5. Перечень и очередность реализации мероприятий по развитию транспортной инфраструктуры поселения.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Генпланом предусматривается создание системы автомобильных улиц и дорог, обеспечивающих необходимые транспортные связи деревень с сохранением существующей структуры улично-дорожной сети и с созданием четко выраженной структуры, классифицированной по назначению и параметрам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движения, обеспечивающей пропуск возрастающих транспортных потоков, а также выходы на внешние автодороги.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Категории улиц и дорог следует назначать в соответствии с классификацией, приведенной в «Градостроительство. Планировка и застройка городских и сельских поселений. Актуализированная редакция СНиП 2.05.02-85»:</w:t>
      </w:r>
    </w:p>
    <w:p w:rsidR="00552648" w:rsidRPr="008757B4" w:rsidRDefault="00552648" w:rsidP="00552648">
      <w:pPr>
        <w:spacing w:after="0" w:line="240" w:lineRule="auto"/>
        <w:ind w:left="1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главные улицы;</w:t>
      </w:r>
    </w:p>
    <w:p w:rsidR="00552648" w:rsidRPr="008757B4" w:rsidRDefault="00552648" w:rsidP="00552648">
      <w:pPr>
        <w:spacing w:after="0" w:line="240" w:lineRule="auto"/>
        <w:ind w:left="1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улицы в жилой застройке: основные;</w:t>
      </w:r>
    </w:p>
    <w:p w:rsidR="00552648" w:rsidRPr="008757B4" w:rsidRDefault="00552648" w:rsidP="00552648">
      <w:pPr>
        <w:spacing w:after="0" w:line="240" w:lineRule="auto"/>
        <w:ind w:left="1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улицы в жилой застройке: второстепенные;</w:t>
      </w:r>
    </w:p>
    <w:p w:rsidR="00552648" w:rsidRPr="008757B4" w:rsidRDefault="00552648" w:rsidP="00552648">
      <w:pPr>
        <w:spacing w:after="0" w:line="240" w:lineRule="auto"/>
        <w:ind w:left="1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проезды.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E36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</w:t>
      </w:r>
    </w:p>
    <w:p w:rsidR="00552648" w:rsidRPr="008757B4" w:rsidRDefault="00552648" w:rsidP="00552648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Таблица 5.</w:t>
      </w:r>
    </w:p>
    <w:p w:rsidR="00552648" w:rsidRPr="008757B4" w:rsidRDefault="00552648" w:rsidP="00552648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32"/>
        <w:gridCol w:w="1293"/>
        <w:gridCol w:w="1398"/>
        <w:gridCol w:w="1933"/>
      </w:tblGrid>
      <w:tr w:rsidR="00552648" w:rsidRPr="008757B4" w:rsidTr="00F365B0">
        <w:trPr>
          <w:trHeight w:val="276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 на 1 оч.</w:t>
            </w:r>
          </w:p>
        </w:tc>
      </w:tr>
      <w:tr w:rsidR="00552648" w:rsidRPr="008757B4" w:rsidTr="0055264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F365B0">
        <w:trPr>
          <w:trHeight w:val="300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037AFE" w:rsidP="00037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2648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Байша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улично-дорожной сети, всего: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F365B0">
        <w:trPr>
          <w:trHeight w:val="300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 w:rsidP="00037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37AFE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Тухум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 в жилой застройке, второстепенных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F365B0">
        <w:trPr>
          <w:trHeight w:val="300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 w:rsidP="00037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37AFE"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Малан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 в жилой застройке, второстепенных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5B0" w:rsidRPr="008757B4" w:rsidTr="00D11BB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B0" w:rsidRPr="008757B4" w:rsidRDefault="00F36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агатай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 w:rsidP="00D1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 w:rsidP="00D1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B0" w:rsidRPr="008757B4" w:rsidRDefault="00F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5B0" w:rsidRPr="008757B4" w:rsidTr="00D11BB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B0" w:rsidRPr="008757B4" w:rsidRDefault="00F36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 w:rsidP="00D1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 w:rsidP="00D1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B0" w:rsidRPr="008757B4" w:rsidRDefault="00F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5B0" w:rsidRPr="008757B4" w:rsidTr="00D11BB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B0" w:rsidRPr="008757B4" w:rsidRDefault="00F36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 w:rsidP="00D11B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 в жилой застройке, второстепенных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 w:rsidP="00D1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8757B4" w:rsidRDefault="00F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B0" w:rsidRPr="008757B4" w:rsidRDefault="00F36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Планируемая потребность объектов дорожного сервиса определена, исходя из обеспеченности населения легковыми автомобилями на расчетный срок,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согласно Генплану - 350 ед. на 1000 человек и проектной численности жителей – 0,6 тыс. чел. Расчетное количество автомобилей составит 214 единиц.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Генплане, так: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потребность в АЗС составляет: одна топливораздаточная колонка на 1200 легковых автомобилей;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потребность в СТО составляет: один пост на 200 легковых автомобилей;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одну топливораздаточную колонку, потребность в СТО - 1 пост. Генеральным планом для обслуживания личного автотранспорта жителей населенных пунктов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предлагается размещение южнее границы села: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АЗС - мощностью одна топливораздаточная колонка - 1 объект;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СТО - мощностью один пост - 1 объект.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Так как в населенных пунктах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дома в жил</w:t>
      </w:r>
      <w:r w:rsidR="00E36926" w:rsidRPr="008757B4">
        <w:rPr>
          <w:rFonts w:ascii="Arial" w:eastAsia="Times New Roman" w:hAnsi="Arial" w:cs="Arial"/>
          <w:sz w:val="24"/>
          <w:szCs w:val="24"/>
          <w:lang w:eastAsia="ru-RU"/>
        </w:rPr>
        <w:t>ой застройке имеют придомовые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Объекты, не затронутые реконструкцией, сохраняются.</w:t>
      </w: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Объекты транспортной инфраструктуры, предлагаемые проектом к размещению, отображены на «Карте планируемого размещения объектов теплоснабжения, водоснабжения, водоотведения, электроснабжения и связи и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». Карте населенных пунктов: </w:t>
      </w:r>
      <w:proofErr w:type="spellStart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>айша</w:t>
      </w:r>
      <w:proofErr w:type="spellEnd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>д.Тухум</w:t>
      </w:r>
      <w:proofErr w:type="spellEnd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>д.Малан</w:t>
      </w:r>
      <w:proofErr w:type="spellEnd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365B0" w:rsidRPr="008757B4">
        <w:rPr>
          <w:rFonts w:ascii="Arial" w:eastAsia="Times New Roman" w:hAnsi="Arial" w:cs="Arial"/>
          <w:sz w:val="24"/>
          <w:szCs w:val="24"/>
          <w:lang w:eastAsia="ru-RU"/>
        </w:rPr>
        <w:t>д.Нагатай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с отображением планируемых объектов теплоснабжения, водоснабжения, водоотведения, электроснабжения и связи и транспортной инфраструктуры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»».</w:t>
      </w:r>
    </w:p>
    <w:p w:rsidR="00552648" w:rsidRPr="008757B4" w:rsidRDefault="00552648" w:rsidP="00552648">
      <w:pPr>
        <w:spacing w:after="150" w:line="238" w:lineRule="atLeast"/>
        <w:ind w:left="360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6. Оценка эффективности мероприятий  развития социальной инфраструктуры</w:t>
      </w:r>
    </w:p>
    <w:p w:rsidR="00552648" w:rsidRPr="008757B4" w:rsidRDefault="00552648" w:rsidP="0055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648" w:rsidRPr="008757B4" w:rsidRDefault="00552648" w:rsidP="005526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8757B4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 xml:space="preserve"> ПРОГРАММА ИНВЕСТИЦИОННЫХ ПРОЕКТОВ, </w:t>
      </w:r>
    </w:p>
    <w:p w:rsidR="00552648" w:rsidRPr="008757B4" w:rsidRDefault="00552648" w:rsidP="005526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8757B4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ОБЕСПЕЧИВАЮЩИХ ДОСТИЖЕНИЕ ЦЕЛЕВЫХ ПОКАЗАТЕЛЕЙ</w:t>
      </w:r>
    </w:p>
    <w:p w:rsidR="00552648" w:rsidRPr="008757B4" w:rsidRDefault="00552648" w:rsidP="0055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648" w:rsidRPr="008757B4" w:rsidRDefault="00552648" w:rsidP="00552648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757B4">
        <w:rPr>
          <w:rFonts w:ascii="Arial" w:hAnsi="Arial" w:cs="Arial"/>
          <w:sz w:val="24"/>
          <w:szCs w:val="24"/>
          <w:lang w:eastAsia="ar-SA"/>
        </w:rPr>
        <w:t xml:space="preserve">Таблица 6 – </w:t>
      </w:r>
      <w:r w:rsidRPr="008757B4">
        <w:rPr>
          <w:rFonts w:ascii="Arial" w:hAnsi="Arial" w:cs="Arial"/>
          <w:bCs/>
          <w:sz w:val="24"/>
          <w:szCs w:val="24"/>
          <w:lang w:eastAsia="ar-SA"/>
        </w:rPr>
        <w:t xml:space="preserve">Программа инвестиционных проектов </w:t>
      </w:r>
      <w:proofErr w:type="spellStart"/>
      <w:r w:rsidRPr="008757B4">
        <w:rPr>
          <w:rFonts w:ascii="Arial" w:hAnsi="Arial" w:cs="Arial"/>
          <w:bCs/>
          <w:sz w:val="24"/>
          <w:szCs w:val="24"/>
          <w:lang w:eastAsia="ar-SA"/>
        </w:rPr>
        <w:t>улично</w:t>
      </w:r>
      <w:proofErr w:type="spellEnd"/>
      <w:r w:rsidRPr="008757B4">
        <w:rPr>
          <w:rFonts w:ascii="Arial" w:hAnsi="Arial" w:cs="Arial"/>
          <w:bCs/>
          <w:sz w:val="24"/>
          <w:szCs w:val="24"/>
          <w:lang w:eastAsia="ar-SA"/>
        </w:rPr>
        <w:t xml:space="preserve"> – дорожной сети МО  «</w:t>
      </w:r>
      <w:proofErr w:type="spellStart"/>
      <w:r w:rsidRPr="008757B4">
        <w:rPr>
          <w:rFonts w:ascii="Arial" w:hAnsi="Arial" w:cs="Arial"/>
          <w:bCs/>
          <w:sz w:val="24"/>
          <w:szCs w:val="24"/>
          <w:lang w:eastAsia="ar-SA"/>
        </w:rPr>
        <w:t>Кырма</w:t>
      </w:r>
      <w:proofErr w:type="spellEnd"/>
      <w:r w:rsidRPr="008757B4">
        <w:rPr>
          <w:rFonts w:ascii="Arial" w:hAnsi="Arial" w:cs="Arial"/>
          <w:bCs/>
          <w:sz w:val="24"/>
          <w:szCs w:val="24"/>
          <w:lang w:eastAsia="ar-SA"/>
        </w:rPr>
        <w:t>».</w:t>
      </w:r>
    </w:p>
    <w:tbl>
      <w:tblPr>
        <w:tblW w:w="1116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987"/>
        <w:gridCol w:w="707"/>
        <w:gridCol w:w="553"/>
        <w:gridCol w:w="720"/>
        <w:gridCol w:w="720"/>
        <w:gridCol w:w="720"/>
        <w:gridCol w:w="585"/>
        <w:gridCol w:w="26"/>
        <w:gridCol w:w="510"/>
        <w:gridCol w:w="49"/>
        <w:gridCol w:w="630"/>
        <w:gridCol w:w="540"/>
        <w:gridCol w:w="585"/>
        <w:gridCol w:w="39"/>
        <w:gridCol w:w="546"/>
        <w:gridCol w:w="14"/>
        <w:gridCol w:w="571"/>
        <w:gridCol w:w="45"/>
        <w:gridCol w:w="540"/>
      </w:tblGrid>
      <w:tr w:rsidR="00552648" w:rsidRPr="008757B4" w:rsidTr="00F365B0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Общая сметная стоимость, </w:t>
            </w:r>
            <w:proofErr w:type="spellStart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5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Финансовые потребности, </w:t>
            </w:r>
            <w:proofErr w:type="spellStart"/>
            <w:r w:rsidRPr="008757B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8757B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8757B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8757B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.(без НДС)</w:t>
            </w:r>
          </w:p>
        </w:tc>
      </w:tr>
      <w:tr w:rsidR="00552648" w:rsidRPr="008757B4" w:rsidTr="00F365B0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весь период 2017-2032 гг.</w:t>
            </w:r>
          </w:p>
        </w:tc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552648" w:rsidRPr="008757B4" w:rsidTr="00F365B0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2032</w:t>
            </w:r>
          </w:p>
        </w:tc>
      </w:tr>
      <w:tr w:rsidR="00552648" w:rsidRPr="008757B4" w:rsidTr="00F365B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52648" w:rsidRPr="008757B4" w:rsidTr="00F365B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грейдерованием</w:t>
            </w:r>
            <w:proofErr w:type="spell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 качества уличн</w:t>
            </w:r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52648" w:rsidRPr="008757B4" w:rsidTr="00F365B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</w:tr>
    </w:tbl>
    <w:p w:rsidR="00552648" w:rsidRPr="008757B4" w:rsidRDefault="00552648" w:rsidP="00552648">
      <w:pPr>
        <w:pStyle w:val="a4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412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648" w:rsidRPr="008757B4" w:rsidRDefault="00552648" w:rsidP="00552648">
      <w:pPr>
        <w:pStyle w:val="a4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412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6.1.Структура инвестиций.</w:t>
      </w:r>
    </w:p>
    <w:p w:rsidR="00552648" w:rsidRPr="008757B4" w:rsidRDefault="00552648" w:rsidP="00552648">
      <w:pPr>
        <w:pStyle w:val="a4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412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74" w:lineRule="exact"/>
        <w:ind w:right="-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Общий объём средств, необходимый на первоочередные мероприя</w:t>
      </w: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тия по модернизации объектов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улично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– дорожной сети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>» на 2017 - 2032 годы, составляет 7840,0 тыс. рублей. Из них наибольшая доля требуется на ремонт автомобильных дорог</w:t>
      </w:r>
    </w:p>
    <w:p w:rsidR="00552648" w:rsidRPr="008757B4" w:rsidRDefault="00552648" w:rsidP="00552648">
      <w:pPr>
        <w:shd w:val="clear" w:color="auto" w:fill="FFFFFF"/>
        <w:spacing w:after="0" w:line="274" w:lineRule="exact"/>
        <w:ind w:right="-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улично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- дорожной сети, а также их приоритетности потребности в финансовых вложениях распределены на 2017 – 2032 годы. Полученные результаты (в ценах 2017 года) приведены в таб.7</w:t>
      </w:r>
    </w:p>
    <w:p w:rsidR="00552648" w:rsidRPr="008757B4" w:rsidRDefault="00552648" w:rsidP="00552648">
      <w:p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74" w:lineRule="exact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lastRenderedPageBreak/>
        <w:t>Таблица 7. Распределение объёма инвестиций на период реализации ПТР МО «</w:t>
      </w:r>
      <w:proofErr w:type="spellStart"/>
      <w:r w:rsidRPr="008757B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»</w:t>
      </w:r>
      <w:r w:rsidRPr="008757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тыс. руб.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1505"/>
        <w:gridCol w:w="1981"/>
        <w:gridCol w:w="763"/>
        <w:gridCol w:w="640"/>
        <w:gridCol w:w="680"/>
        <w:gridCol w:w="680"/>
        <w:gridCol w:w="721"/>
        <w:gridCol w:w="763"/>
        <w:gridCol w:w="610"/>
        <w:gridCol w:w="780"/>
      </w:tblGrid>
      <w:tr w:rsidR="00552648" w:rsidRPr="008757B4" w:rsidTr="00552648">
        <w:trPr>
          <w:gridAfter w:val="7"/>
          <w:wAfter w:w="4874" w:type="dxa"/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7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hRule="exact" w:val="88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8757B4" w:rsidRDefault="005526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52648" w:rsidRPr="008757B4" w:rsidTr="00552648">
        <w:trPr>
          <w:trHeight w:hRule="exact" w:val="603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дорог</w:t>
            </w:r>
          </w:p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4583</w:t>
            </w:r>
          </w:p>
        </w:tc>
      </w:tr>
      <w:tr w:rsidR="00552648" w:rsidRPr="008757B4" w:rsidTr="0055264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648" w:rsidRPr="008757B4" w:rsidTr="0055264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2648" w:rsidRPr="008757B4" w:rsidRDefault="00552648" w:rsidP="00552648">
      <w:pPr>
        <w:shd w:val="clear" w:color="auto" w:fill="FFFFFF"/>
        <w:spacing w:after="0" w:line="240" w:lineRule="auto"/>
        <w:ind w:right="-5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40" w:lineRule="auto"/>
        <w:ind w:right="-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анализа </w:t>
      </w: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состояния 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улично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дорожной сети МО «</w:t>
      </w:r>
      <w:proofErr w:type="spell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показано, что экономика поселе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softHyphen/>
        <w:t>ния является малопривлекательной для частных инвестиций</w:t>
      </w: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Причинами тому служат </w:t>
      </w: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низкий уровень доходов населения, отсутствие роста объёмов производства, относительно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softHyphen/>
        <w:t>ты транспортной  инфраструктуры поселения отсутствуют. Поэтому в качестве основного источника инвестиций предлагается подразумевать поступления от вы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softHyphen/>
        <w:t>шестоящих бюджетов.</w:t>
      </w:r>
    </w:p>
    <w:p w:rsidR="00552648" w:rsidRPr="008757B4" w:rsidRDefault="00552648" w:rsidP="00552648">
      <w:pPr>
        <w:shd w:val="clear" w:color="auto" w:fill="FFFFFF"/>
        <w:spacing w:after="0" w:line="240" w:lineRule="auto"/>
        <w:ind w:right="-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Оценочное распределение денежных средств на реализацию ПТР (в ценах 2017 го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да) приведено в таб.8</w:t>
      </w:r>
    </w:p>
    <w:p w:rsidR="00552648" w:rsidRPr="008757B4" w:rsidRDefault="00552648" w:rsidP="005526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Таблица 8. Источники привлечения денежных средств на реализацию ПКР МО «</w:t>
      </w:r>
      <w:proofErr w:type="spellStart"/>
      <w:r w:rsidRPr="008757B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», тыс. руб.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014"/>
        <w:gridCol w:w="1517"/>
        <w:gridCol w:w="1315"/>
        <w:gridCol w:w="1440"/>
        <w:gridCol w:w="1260"/>
        <w:gridCol w:w="1443"/>
      </w:tblGrid>
      <w:tr w:rsidR="00552648" w:rsidRPr="008757B4" w:rsidTr="00552648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149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74" w:lineRule="exact"/>
              <w:ind w:left="86" w:right="86" w:firstLine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Бюджеты всех уров</w:t>
            </w:r>
            <w:r w:rsidRPr="008757B4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8757B4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ru-RU"/>
              </w:rPr>
              <w:t>ней и част</w:t>
            </w:r>
            <w:r w:rsidRPr="008757B4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8757B4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t>ные инве</w:t>
            </w:r>
            <w:r w:rsidRPr="008757B4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78" w:lineRule="exact"/>
              <w:ind w:left="38" w:right="5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 xml:space="preserve">. федеральный </w:t>
            </w: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74" w:lineRule="exact"/>
              <w:ind w:left="110" w:right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57B4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8757B4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8757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552648" w:rsidRPr="008757B4" w:rsidRDefault="00552648">
            <w:pPr>
              <w:shd w:val="clear" w:color="auto" w:fill="FFFFFF"/>
              <w:spacing w:after="0" w:line="274" w:lineRule="exact"/>
              <w:jc w:val="center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  <w:p w:rsidR="00552648" w:rsidRPr="008757B4" w:rsidRDefault="00552648">
            <w:pPr>
              <w:shd w:val="clear" w:color="auto" w:fill="FFFFFF"/>
              <w:spacing w:after="0" w:line="274" w:lineRule="exact"/>
              <w:jc w:val="center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78" w:lineRule="exact"/>
              <w:ind w:left="86" w:right="115"/>
              <w:jc w:val="center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. вне</w:t>
            </w:r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softHyphen/>
            </w:r>
            <w:r w:rsidRPr="008757B4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 xml:space="preserve">бюджетные </w:t>
            </w:r>
            <w:r w:rsidRPr="008757B4"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  <w:t>источники</w:t>
            </w:r>
          </w:p>
        </w:tc>
      </w:tr>
      <w:tr w:rsidR="00552648" w:rsidRPr="008757B4" w:rsidTr="00552648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дорог</w:t>
            </w:r>
          </w:p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-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4583,8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4583,0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52648" w:rsidRPr="008757B4" w:rsidTr="00552648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648" w:rsidRPr="008757B4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5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552648" w:rsidRPr="008757B4" w:rsidRDefault="00552648" w:rsidP="00552648">
      <w:pPr>
        <w:shd w:val="clear" w:color="auto" w:fill="FFFFFF"/>
        <w:spacing w:after="0" w:line="240" w:lineRule="auto"/>
        <w:ind w:right="-5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Pr="008757B4" w:rsidRDefault="00552648" w:rsidP="00552648">
      <w:pPr>
        <w:shd w:val="clear" w:color="auto" w:fill="FFFFFF"/>
        <w:spacing w:after="0" w:line="240" w:lineRule="auto"/>
        <w:ind w:right="-5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552648" w:rsidRPr="008757B4" w:rsidRDefault="00552648" w:rsidP="00552648">
      <w:pPr>
        <w:shd w:val="clear" w:color="auto" w:fill="FFFFFF"/>
        <w:spacing w:after="0" w:line="274" w:lineRule="exact"/>
        <w:ind w:left="67" w:right="130" w:firstLine="7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Перспективы «</w:t>
      </w:r>
      <w:proofErr w:type="spellStart"/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до 2032 года связаны с расширением производ</w:t>
      </w: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  <w:t>ства в сельском хозяйстве, растениеводстве, животноводстве, личных подсобных хозяйст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вах.</w:t>
      </w:r>
    </w:p>
    <w:p w:rsidR="00552648" w:rsidRPr="008757B4" w:rsidRDefault="00552648" w:rsidP="00552648">
      <w:pPr>
        <w:shd w:val="clear" w:color="auto" w:fill="FFFFFF"/>
        <w:spacing w:after="0" w:line="274" w:lineRule="exact"/>
        <w:ind w:left="72" w:right="130" w:firstLine="706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Рассматривая интегральные показатели текущего уровня социально-</w:t>
      </w: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экономического развития МО «</w:t>
      </w:r>
      <w:proofErr w:type="spellStart"/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», отмечается следующее:</w:t>
      </w:r>
    </w:p>
    <w:p w:rsidR="00552648" w:rsidRPr="008757B4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бюджетная обеспеченность низкая.</w:t>
      </w:r>
    </w:p>
    <w:p w:rsidR="00552648" w:rsidRPr="008757B4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транспортная доступность населенных пунктов поселения низкая;</w:t>
      </w:r>
    </w:p>
    <w:p w:rsidR="00552648" w:rsidRPr="008757B4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наличие трудовых ресурсов позволяет обеспечить потребности населения и расширение производства;</w:t>
      </w:r>
    </w:p>
    <w:p w:rsidR="00552648" w:rsidRPr="008757B4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состояние жилищного фонда - в большей части приемлемое с достаточно высокой долей ветхого жилья;</w:t>
      </w:r>
    </w:p>
    <w:p w:rsidR="00552648" w:rsidRPr="008757B4" w:rsidRDefault="00552648" w:rsidP="0055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доходы населения на уровне </w:t>
      </w:r>
      <w:proofErr w:type="gramStart"/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средних</w:t>
      </w:r>
      <w:proofErr w:type="gramEnd"/>
      <w:r w:rsidRPr="008757B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 району.</w:t>
      </w:r>
    </w:p>
    <w:p w:rsidR="00552648" w:rsidRPr="008757B4" w:rsidRDefault="00552648" w:rsidP="0055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lastRenderedPageBreak/>
        <w:t>7. Оценка эффективности мероприятий развития транспортной инфраструктуры.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развитие транспортной инфраструктуры поселения 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proofErr w:type="gram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сбалансированное</w:t>
      </w:r>
      <w:proofErr w:type="gram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скоординированное с иными сферами жизни деятельности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- формирование условий для социально- экономического развития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-повышение безопасности 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875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осуществляющих экономическую деятельность </w:t>
      </w:r>
    </w:p>
    <w:p w:rsidR="00552648" w:rsidRPr="008757B4" w:rsidRDefault="00552648" w:rsidP="0055264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поселения.</w:t>
      </w:r>
    </w:p>
    <w:p w:rsidR="00552648" w:rsidRPr="008757B4" w:rsidRDefault="00552648" w:rsidP="00552648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52648" w:rsidRPr="008757B4" w:rsidRDefault="00552648" w:rsidP="00552648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«</w:t>
      </w:r>
      <w:proofErr w:type="spellStart"/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».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» - осуществляет общий 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552648" w:rsidRPr="008757B4" w:rsidRDefault="00552648" w:rsidP="00552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Программа разрабатывается сроком на 17 лет и подлежит корректировке ежегодно.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Мониторинг Программы включает следующие этапы:</w:t>
      </w:r>
    </w:p>
    <w:p w:rsidR="00552648" w:rsidRPr="008757B4" w:rsidRDefault="00552648" w:rsidP="005526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1.Периодический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инфраструктуры;</w:t>
      </w:r>
    </w:p>
    <w:p w:rsidR="00552648" w:rsidRPr="008757B4" w:rsidRDefault="00552648" w:rsidP="005526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757B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t>Вверификация данных;</w:t>
      </w:r>
    </w:p>
    <w:p w:rsidR="00552648" w:rsidRPr="008757B4" w:rsidRDefault="00552648" w:rsidP="0055264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>3.Анализ данных о результатах проводимых преобразований транспортной инфраструктуры.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 </w:t>
      </w:r>
    </w:p>
    <w:p w:rsidR="00552648" w:rsidRPr="008757B4" w:rsidRDefault="00552648" w:rsidP="005526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8757B4">
        <w:rPr>
          <w:rFonts w:ascii="Arial" w:eastAsia="Times New Roman" w:hAnsi="Arial" w:cs="Arial"/>
          <w:sz w:val="24"/>
          <w:szCs w:val="24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8757B4">
        <w:rPr>
          <w:rFonts w:ascii="Arial" w:eastAsia="Times New Roman" w:hAnsi="Arial" w:cs="Arial"/>
          <w:sz w:val="24"/>
          <w:szCs w:val="24"/>
          <w:lang w:eastAsia="ru-RU"/>
        </w:rPr>
        <w:t xml:space="preserve"> при соблюдении ограничений по платежной </w:t>
      </w:r>
      <w:r w:rsidRPr="00875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8760F4" w:rsidRDefault="008760F4"/>
    <w:sectPr w:rsidR="0087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7E903AE3"/>
    <w:multiLevelType w:val="hybridMultilevel"/>
    <w:tmpl w:val="950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E4"/>
    <w:rsid w:val="00037AFE"/>
    <w:rsid w:val="0008231E"/>
    <w:rsid w:val="001C7C7B"/>
    <w:rsid w:val="00283027"/>
    <w:rsid w:val="00293FE4"/>
    <w:rsid w:val="003F5880"/>
    <w:rsid w:val="004E2E6D"/>
    <w:rsid w:val="00526535"/>
    <w:rsid w:val="00552648"/>
    <w:rsid w:val="005744A3"/>
    <w:rsid w:val="00587E1F"/>
    <w:rsid w:val="007262DC"/>
    <w:rsid w:val="00832159"/>
    <w:rsid w:val="008757B4"/>
    <w:rsid w:val="008760F4"/>
    <w:rsid w:val="0087647D"/>
    <w:rsid w:val="008E7413"/>
    <w:rsid w:val="00B73B8A"/>
    <w:rsid w:val="00D11BB8"/>
    <w:rsid w:val="00D921ED"/>
    <w:rsid w:val="00E36926"/>
    <w:rsid w:val="00E42E5A"/>
    <w:rsid w:val="00EB5E31"/>
    <w:rsid w:val="00F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089D-FF5C-4AD9-BF68-91C7F51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13</cp:revision>
  <cp:lastPrinted>2018-05-14T07:35:00Z</cp:lastPrinted>
  <dcterms:created xsi:type="dcterms:W3CDTF">2018-02-09T00:57:00Z</dcterms:created>
  <dcterms:modified xsi:type="dcterms:W3CDTF">2018-05-14T07:36:00Z</dcterms:modified>
</cp:coreProperties>
</file>