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DFD" w:rsidRPr="00D45F2C" w:rsidRDefault="009E7DFD" w:rsidP="009E7DFD">
      <w:pPr>
        <w:suppressAutoHyphens/>
        <w:jc w:val="center"/>
      </w:pPr>
      <w:bookmarkStart w:id="0" w:name="_GoBack"/>
      <w:bookmarkEnd w:id="0"/>
    </w:p>
    <w:p w:rsidR="009E7DFD" w:rsidRDefault="00462829" w:rsidP="009E7DFD">
      <w:pPr>
        <w:suppressAutoHyphens/>
        <w:ind w:firstLine="709"/>
        <w:jc w:val="both"/>
      </w:pPr>
      <w:r>
        <w:t xml:space="preserve">Информируем, что в настоящее время складывается напряженная ситуация по </w:t>
      </w:r>
      <w:r w:rsidRPr="00525690">
        <w:rPr>
          <w:b/>
          <w:i/>
          <w:color w:val="FF0000"/>
          <w:u w:val="single"/>
        </w:rPr>
        <w:t>высокопатогенному гриппу птиц (далее – ВГП) в мире.</w:t>
      </w:r>
      <w:r w:rsidRPr="00525690">
        <w:rPr>
          <w:color w:val="FF0000"/>
        </w:rPr>
        <w:t xml:space="preserve"> </w:t>
      </w:r>
    </w:p>
    <w:p w:rsidR="00462829" w:rsidRDefault="00BD721D" w:rsidP="009E7DFD">
      <w:pPr>
        <w:suppressAutoHyphens/>
        <w:ind w:firstLine="709"/>
        <w:jc w:val="both"/>
      </w:pPr>
      <w:r>
        <w:t>По данным Всемирной организации здоровья животных (далее</w:t>
      </w:r>
      <w:r w:rsidR="001B5471">
        <w:t xml:space="preserve"> -</w:t>
      </w:r>
      <w:r>
        <w:t xml:space="preserve"> ВОЗЖ)</w:t>
      </w:r>
      <w:r w:rsidR="001B5471">
        <w:t>, в период с начала с 2023 года вспышки птичьего гриппа зарегистрированы на территориях 54 стран. Наибольшее количество вспышек возникло в странах Европы, в том числе среди диких птиц.</w:t>
      </w:r>
      <w:r>
        <w:t xml:space="preserve"> </w:t>
      </w:r>
      <w:r w:rsidR="00462829">
        <w:t>Кроме того, ВОЗЖ сообщает, что регистрируются случаи заболевания и гибели от ВГП млекопитающих (</w:t>
      </w:r>
      <w:r w:rsidR="009D38DA">
        <w:t>лисы, медведи, морские львы и др.), что создает предпосылки для возможной мутации вируса ВГП и опасности для здоровья людей.</w:t>
      </w:r>
    </w:p>
    <w:p w:rsidR="009D38DA" w:rsidRDefault="009D38DA" w:rsidP="009E7DFD">
      <w:pPr>
        <w:suppressAutoHyphens/>
        <w:ind w:firstLine="709"/>
        <w:jc w:val="both"/>
      </w:pPr>
      <w:r>
        <w:t xml:space="preserve">С учетом того, что через территорию Российской Федерации проходит восемь основных миграционных путей, и большая часть зимующих водоплавающих птиц, которые являются потенциальными вирусоносителями, в период весенней миграции прилетают в Россию в места гнездовий, </w:t>
      </w:r>
      <w:r w:rsidR="005823D4">
        <w:t>возрастает уровень угрозы заноса возбудителя птичьего гриппа на территорию Российской Федерации</w:t>
      </w:r>
      <w:r w:rsidR="00835C39">
        <w:t xml:space="preserve"> с мигрирующими потоками перелетных птиц с территорий многочисленных неблагополучных по этой болезни государств в разных регионах мира.</w:t>
      </w:r>
    </w:p>
    <w:p w:rsidR="00AF0C5C" w:rsidRDefault="00AF0C5C" w:rsidP="009E7DFD">
      <w:pPr>
        <w:suppressAutoHyphens/>
        <w:ind w:firstLine="709"/>
        <w:jc w:val="both"/>
      </w:pPr>
      <w:r>
        <w:t>В 2022 году зарегистрировано 63 очага ВГП в 17 регионах Российской Федерации, уничтожено более 1,1 млн. голов птицы, при этом 45 очагов ВГП (более 70 %) выявлено в личных подсобных хозяйствах, в которых отсутствовала необходимая биологическая защита.</w:t>
      </w:r>
    </w:p>
    <w:p w:rsidR="001B5471" w:rsidRDefault="001B5471" w:rsidP="009E7DFD">
      <w:pPr>
        <w:suppressAutoHyphens/>
        <w:ind w:firstLine="709"/>
        <w:jc w:val="both"/>
      </w:pPr>
      <w:r>
        <w:t>За период с начала 2023 года на территориях 14 субъектов Российской Федерации зарегистрировано 29 случаев возникновения ВГП, в том числе 7 – среди домашней птицы и 22 – среди дикой птицы.</w:t>
      </w:r>
    </w:p>
    <w:p w:rsidR="00835C39" w:rsidRDefault="00877B84" w:rsidP="00577CDD">
      <w:pPr>
        <w:suppressAutoHyphens/>
        <w:ind w:firstLine="709"/>
        <w:jc w:val="both"/>
      </w:pPr>
      <w:r>
        <w:t xml:space="preserve">Особенно тревожит стремительное распространение в мае 2023 года ВГП в популяции чаек. В течение краткого периода с 3 по 10 мая 2023 года в России зарегистрировано </w:t>
      </w:r>
      <w:r w:rsidR="00835C39">
        <w:t>20</w:t>
      </w:r>
      <w:r>
        <w:t xml:space="preserve"> случаев обнаружения трупов чаек, павших от ВПГ, в том числе на территориях Удмуртской Республики (5 случаев в 5 муниципальных образованиях), Республики Марий Эл (4 случая в 3 муниципальных образованиях), Кировской  области (9 случаев в 6 муниципальных образованиях)</w:t>
      </w:r>
      <w:r w:rsidR="00835C39">
        <w:t>, Калужской</w:t>
      </w:r>
      <w:r>
        <w:t xml:space="preserve"> и Смоленской област</w:t>
      </w:r>
      <w:r w:rsidR="00835C39">
        <w:t>ях</w:t>
      </w:r>
      <w:r>
        <w:t xml:space="preserve"> (</w:t>
      </w:r>
      <w:r w:rsidR="00835C39">
        <w:t xml:space="preserve">по </w:t>
      </w:r>
      <w:r>
        <w:t>1 случа</w:t>
      </w:r>
      <w:r w:rsidR="00835C39">
        <w:t>ю</w:t>
      </w:r>
      <w:r>
        <w:t>).</w:t>
      </w:r>
      <w:r w:rsidR="00835C39">
        <w:t xml:space="preserve"> Также зарегистрирован по 1 случаю заболевания лебедей ВГП в Республике </w:t>
      </w:r>
      <w:r w:rsidR="00F1444E">
        <w:t>Дагестан и Астраханской области, и заболевания пеликанов и бакланов в Республике Калмыкия.</w:t>
      </w:r>
    </w:p>
    <w:p w:rsidR="00E370BD" w:rsidRDefault="00E370BD" w:rsidP="00577CDD">
      <w:pPr>
        <w:suppressAutoHyphens/>
        <w:ind w:firstLine="709"/>
        <w:jc w:val="both"/>
      </w:pPr>
      <w:r>
        <w:t xml:space="preserve">Анализ развития эпизоотической ситуации в России в 2022 году показал, что основными причинами распространения ВГП стали нарушения установленных ветеринарным законодательством Российской Федерации  требований к содержанию, использованию, перемещению и реализации птиц, полученной от них продукции, в первую очередь на сельскохозяйственных ярмарках и рынках выходного дня, а также попустительское отношение к местам несанкционированной торговли. Ключевым фактором, оказывающим значимое влияние на развитие эпизоотической ситуации по ВГП, продолжает оставаться сезонная миграция диких птиц. </w:t>
      </w:r>
    </w:p>
    <w:p w:rsidR="00E370BD" w:rsidRDefault="00E370BD" w:rsidP="00F51A3E">
      <w:pPr>
        <w:suppressAutoHyphens/>
        <w:ind w:firstLine="709"/>
        <w:jc w:val="both"/>
      </w:pPr>
      <w:r>
        <w:t>Принимая во внимание отсутствие необходимых мер биологической  защиты ЛПХ в первую очередь от дикой и синантропной птицы, возникновение ВГП в данной категории хозяйств создает прямую угрозу для распространения ВГП.</w:t>
      </w:r>
    </w:p>
    <w:p w:rsidR="009D38DA" w:rsidRDefault="00E370BD" w:rsidP="00F51A3E">
      <w:pPr>
        <w:suppressAutoHyphens/>
        <w:ind w:firstLine="709"/>
        <w:jc w:val="both"/>
      </w:pPr>
      <w:r>
        <w:t>Исходя из изложенного</w:t>
      </w:r>
      <w:r w:rsidR="00F51A3E">
        <w:t xml:space="preserve"> и с целью минимизации угрозы</w:t>
      </w:r>
      <w:r w:rsidR="00577CDD">
        <w:t xml:space="preserve"> ВГП </w:t>
      </w:r>
      <w:r w:rsidRPr="00E370BD">
        <w:t>на территории</w:t>
      </w:r>
      <w:r w:rsidR="009D38DA" w:rsidRPr="00E370BD">
        <w:t xml:space="preserve"> </w:t>
      </w:r>
      <w:r w:rsidR="00E7386C">
        <w:t>района</w:t>
      </w:r>
      <w:r w:rsidR="00577CDD" w:rsidRPr="00E370BD">
        <w:t xml:space="preserve"> необходимо</w:t>
      </w:r>
      <w:r w:rsidR="00F51A3E">
        <w:t xml:space="preserve"> </w:t>
      </w:r>
      <w:r w:rsidR="009E5FF2">
        <w:t>инициировать рассмотре</w:t>
      </w:r>
      <w:r w:rsidR="00E7386C">
        <w:t>ть</w:t>
      </w:r>
      <w:r w:rsidR="009E5FF2">
        <w:t xml:space="preserve"> вопрос</w:t>
      </w:r>
      <w:r w:rsidR="00E7386C">
        <w:t>ы</w:t>
      </w:r>
      <w:r w:rsidR="009E5FF2">
        <w:t xml:space="preserve"> по </w:t>
      </w:r>
      <w:r w:rsidR="00F51A3E">
        <w:t>обеспеч</w:t>
      </w:r>
      <w:r w:rsidR="009E5FF2">
        <w:t>ению</w:t>
      </w:r>
      <w:r w:rsidR="00F51A3E">
        <w:t xml:space="preserve"> проведени</w:t>
      </w:r>
      <w:r w:rsidR="009E5FF2">
        <w:t>я</w:t>
      </w:r>
      <w:r w:rsidR="00F51A3E">
        <w:t xml:space="preserve"> </w:t>
      </w:r>
      <w:r w:rsidR="00F51A3E">
        <w:lastRenderedPageBreak/>
        <w:t>комплекса мероприятий, направленных на недопущение возникновения и распространения ВГП, в том числе:</w:t>
      </w:r>
    </w:p>
    <w:p w:rsidR="009D38DA" w:rsidRDefault="00577CDD" w:rsidP="009E7DFD">
      <w:pPr>
        <w:suppressAutoHyphens/>
        <w:ind w:firstLine="709"/>
        <w:jc w:val="both"/>
      </w:pPr>
      <w:r>
        <w:t>1)</w:t>
      </w:r>
      <w:r w:rsidR="009D38DA">
        <w:t xml:space="preserve"> </w:t>
      </w:r>
      <w:r w:rsidR="009E5FF2">
        <w:t xml:space="preserve">по </w:t>
      </w:r>
      <w:r w:rsidR="002E449E">
        <w:t xml:space="preserve">пресечению несанкционированного перемещения и неправомерной реализации птицы, мясосырья непромышленной выработки </w:t>
      </w:r>
      <w:r w:rsidR="00F51A3E">
        <w:t>в несанкционированных мест</w:t>
      </w:r>
      <w:r w:rsidR="002E449E">
        <w:t>а</w:t>
      </w:r>
      <w:r w:rsidR="00F51A3E">
        <w:t>х</w:t>
      </w:r>
      <w:r w:rsidR="002E449E">
        <w:t xml:space="preserve"> торговли сельскохозяйственной  продукцией, </w:t>
      </w:r>
      <w:r w:rsidR="00AD1526">
        <w:t>на стихий</w:t>
      </w:r>
      <w:r w:rsidR="002E449E">
        <w:t xml:space="preserve">ных рынках, ярмарках выходного дня, а также через интернет-сайты, представляющие собой площадки для подачи бесплатных объявлений (Юла, </w:t>
      </w:r>
      <w:r w:rsidR="002E449E">
        <w:rPr>
          <w:lang w:val="en-US"/>
        </w:rPr>
        <w:t>Avito</w:t>
      </w:r>
      <w:r w:rsidR="002E449E">
        <w:t xml:space="preserve"> и др.), через газеты бесплатных объявлений</w:t>
      </w:r>
      <w:r w:rsidR="00BD721D">
        <w:t>;</w:t>
      </w:r>
    </w:p>
    <w:p w:rsidR="00F1444E" w:rsidRDefault="008826D7" w:rsidP="009E7DFD">
      <w:pPr>
        <w:suppressAutoHyphens/>
        <w:ind w:firstLine="709"/>
        <w:jc w:val="both"/>
      </w:pPr>
      <w:r>
        <w:t>4</w:t>
      </w:r>
      <w:r w:rsidR="00577CDD">
        <w:t>)</w:t>
      </w:r>
      <w:r w:rsidR="00F1444E">
        <w:t xml:space="preserve"> </w:t>
      </w:r>
      <w:r w:rsidR="00623C36">
        <w:t>обеспечение</w:t>
      </w:r>
      <w:r w:rsidR="007A4E01">
        <w:t xml:space="preserve"> (совместно с руководством соответствующих муниципальных образований)</w:t>
      </w:r>
      <w:r w:rsidR="00623C36">
        <w:t xml:space="preserve"> проведения</w:t>
      </w:r>
      <w:r w:rsidR="007A4E01">
        <w:t xml:space="preserve"> объективного</w:t>
      </w:r>
      <w:r w:rsidR="00623C36">
        <w:t xml:space="preserve"> учета поголовья домашней  птицы в хозяйствах всех форм собственности</w:t>
      </w:r>
      <w:r w:rsidR="007A4E01">
        <w:t>, в первую очередь – в личных подсобных и крестьянских (фермерских) хозяйствах</w:t>
      </w:r>
      <w:r w:rsidR="00596838">
        <w:t>;</w:t>
      </w:r>
    </w:p>
    <w:p w:rsidR="00877B84" w:rsidRDefault="008826D7" w:rsidP="009E7DFD">
      <w:pPr>
        <w:suppressAutoHyphens/>
        <w:ind w:firstLine="709"/>
        <w:jc w:val="both"/>
      </w:pPr>
      <w:r>
        <w:t>5</w:t>
      </w:r>
      <w:r w:rsidR="00577CDD">
        <w:t>)</w:t>
      </w:r>
      <w:r w:rsidR="00877B84">
        <w:t xml:space="preserve"> </w:t>
      </w:r>
      <w:r w:rsidR="00623C36">
        <w:t xml:space="preserve">проведение активной разъяснительной работы с населением </w:t>
      </w:r>
      <w:r w:rsidR="00543258">
        <w:t>с целью повышения информированности о требованиях ветеринарного законодательства Российской Федерации</w:t>
      </w:r>
      <w:r w:rsidR="00623C36">
        <w:t>, включая разъяснительны</w:t>
      </w:r>
      <w:r w:rsidR="002E449E">
        <w:t>е</w:t>
      </w:r>
      <w:r w:rsidR="00623C36">
        <w:t xml:space="preserve"> бесед</w:t>
      </w:r>
      <w:r w:rsidR="002E449E">
        <w:t>ы</w:t>
      </w:r>
      <w:r w:rsidR="00623C36">
        <w:t xml:space="preserve"> с гражданами при подворовых обходах владельцев животных, об опасности ВГП, мерах по предупреждению их возникновения, оперативного оповещения специалистов госветслужбы о всех изменениях в поведении и здоровье животных</w:t>
      </w:r>
      <w:r w:rsidR="00543258">
        <w:t>;</w:t>
      </w:r>
    </w:p>
    <w:p w:rsidR="00543258" w:rsidRDefault="008826D7" w:rsidP="009E7DFD">
      <w:pPr>
        <w:suppressAutoHyphens/>
        <w:ind w:firstLine="709"/>
        <w:jc w:val="both"/>
      </w:pPr>
      <w:r>
        <w:t>6</w:t>
      </w:r>
      <w:r w:rsidR="00543258">
        <w:t>) активиз</w:t>
      </w:r>
      <w:r w:rsidR="00E7386C">
        <w:t>ировать</w:t>
      </w:r>
      <w:r w:rsidR="00543258">
        <w:t xml:space="preserve"> работы по выявлению мест несанкционированного захоронения (сброса) биологических отходов, в том числе </w:t>
      </w:r>
      <w:r w:rsidR="007A4E01">
        <w:t>павшей</w:t>
      </w:r>
      <w:r w:rsidR="00543258">
        <w:t xml:space="preserve"> домашней птицы</w:t>
      </w:r>
      <w:r w:rsidR="007A4E01">
        <w:t xml:space="preserve"> на свалках твердых бытовых отходов и в местах несанкционированного складирования мусора</w:t>
      </w:r>
      <w:r w:rsidR="00543258">
        <w:t>, с обязательным лабораторным исследованием патологического материала на ВГП, а также по пресечению сокрытия фактов заболевания и/или падежа птицы их владельцами;</w:t>
      </w:r>
    </w:p>
    <w:p w:rsidR="00525690" w:rsidRDefault="00525690" w:rsidP="00525690">
      <w:pPr>
        <w:suppressAutoHyphens/>
        <w:ind w:firstLine="709"/>
        <w:jc w:val="both"/>
      </w:pPr>
      <w:r>
        <w:t>Грипп птиц – острое инфекционное заболевание домашних и диких птиц различных видов, которое может вызывать смертность заражённой птицы, близкую к 100%, и боль¬шой экономический ущерб. При этом некоторые вирусы гриппа птиц способны инфицировать людей и вызывать у них болезнь различной степени тяжести вплоть до смертельной.</w:t>
      </w:r>
    </w:p>
    <w:p w:rsidR="00525690" w:rsidRDefault="00525690" w:rsidP="00525690">
      <w:pPr>
        <w:suppressAutoHyphens/>
        <w:ind w:firstLine="709"/>
        <w:jc w:val="both"/>
      </w:pPr>
      <w:r>
        <w:t>У всех видов домашних и диких водоплавающих птиц характерными клиническими признаками являются: нарушение координации движений, запрокидывание головы, вращательное движение головой с потряхиванием, искривление шеи, отсутствие реакции на внешние раздражители, отказ от корма и воды, угнетенное состояние, синусит, истечение из носовых отверстий, воспаление слизистой оболочки глаза, помутнение роговицы и слепота, понос.</w:t>
      </w:r>
    </w:p>
    <w:p w:rsidR="00525690" w:rsidRDefault="00525690" w:rsidP="00525690">
      <w:pPr>
        <w:suppressAutoHyphens/>
        <w:ind w:firstLine="709"/>
        <w:jc w:val="both"/>
      </w:pPr>
      <w:r>
        <w:t>У кур отмечаются: повышенная температура тела, угнетенное состояние, резкое снижение яйценоскости, взъерошенность оперения, отказ от корма, синюшная окраска кожных покровов, особенно в области глаз и живота, опухание и почернение гребня и сережек, подкожные кровоизлияния на конечностях, понос, фекалии желто-зеленого цвета.</w:t>
      </w:r>
    </w:p>
    <w:p w:rsidR="00525690" w:rsidRDefault="00525690" w:rsidP="00525690">
      <w:pPr>
        <w:suppressAutoHyphens/>
        <w:ind w:firstLine="709"/>
        <w:jc w:val="both"/>
      </w:pPr>
      <w:r>
        <w:t>Возможно носительство вируса без проявления каких-либо клинических признаков.</w:t>
      </w:r>
    </w:p>
    <w:p w:rsidR="00525690" w:rsidRDefault="00525690" w:rsidP="00525690">
      <w:pPr>
        <w:suppressAutoHyphens/>
        <w:ind w:firstLine="709"/>
        <w:jc w:val="both"/>
      </w:pPr>
      <w:r>
        <w:t>Продолжительность инкубационного периода болезни обычно составляет от суток до трех недель.</w:t>
      </w:r>
    </w:p>
    <w:p w:rsidR="009E7DFD" w:rsidRPr="00D45F2C" w:rsidRDefault="00525690" w:rsidP="00525690">
      <w:pPr>
        <w:suppressAutoHyphens/>
        <w:ind w:firstLine="709"/>
        <w:jc w:val="both"/>
      </w:pPr>
      <w:r w:rsidRPr="00525690">
        <w:t>При выявлении признаков заболевания у птиц или обнаружения мертвой птицы необходимо немедленно информировать государственную ветеринарную службу.</w:t>
      </w:r>
    </w:p>
    <w:tbl>
      <w:tblPr>
        <w:tblStyle w:val="a6"/>
        <w:tblpPr w:leftFromText="180" w:rightFromText="180" w:vertAnchor="text" w:horzAnchor="margin" w:tblpY="20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826"/>
      </w:tblGrid>
      <w:tr w:rsidR="0013192E" w:rsidRPr="00D45F2C" w:rsidTr="00260931">
        <w:tc>
          <w:tcPr>
            <w:tcW w:w="4672" w:type="dxa"/>
          </w:tcPr>
          <w:p w:rsidR="0013192E" w:rsidRPr="00D45F2C" w:rsidRDefault="0013192E" w:rsidP="00260931">
            <w:pPr>
              <w:suppressAutoHyphens/>
              <w:ind w:left="-108"/>
            </w:pPr>
            <w:bookmarkStart w:id="1" w:name="SIGNERPOST1"/>
            <w:bookmarkEnd w:id="1"/>
          </w:p>
        </w:tc>
        <w:tc>
          <w:tcPr>
            <w:tcW w:w="4826" w:type="dxa"/>
            <w:vAlign w:val="bottom"/>
          </w:tcPr>
          <w:p w:rsidR="0013192E" w:rsidRPr="00D45F2C" w:rsidRDefault="0013192E" w:rsidP="00260931">
            <w:pPr>
              <w:suppressAutoHyphens/>
              <w:jc w:val="right"/>
            </w:pPr>
            <w:bookmarkStart w:id="2" w:name="SIGNERNAME1"/>
            <w:bookmarkEnd w:id="2"/>
          </w:p>
        </w:tc>
      </w:tr>
    </w:tbl>
    <w:p w:rsidR="009E7DFD" w:rsidRPr="00201E2B" w:rsidRDefault="009E7DFD" w:rsidP="009E7DFD">
      <w:pPr>
        <w:suppressAutoHyphens/>
        <w:jc w:val="center"/>
        <w:rPr>
          <w:sz w:val="14"/>
          <w:szCs w:val="14"/>
        </w:rPr>
      </w:pPr>
    </w:p>
    <w:p w:rsidR="00201E2B" w:rsidRPr="00201E2B" w:rsidRDefault="00201E2B" w:rsidP="009E7DFD">
      <w:pPr>
        <w:suppressAutoHyphens/>
        <w:jc w:val="center"/>
        <w:rPr>
          <w:sz w:val="14"/>
          <w:szCs w:val="1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"/>
        <w:gridCol w:w="280"/>
        <w:gridCol w:w="280"/>
        <w:gridCol w:w="280"/>
      </w:tblGrid>
      <w:tr w:rsidR="009E7DFD" w:rsidRPr="00D45F2C" w:rsidTr="00630722">
        <w:trPr>
          <w:cantSplit/>
        </w:trPr>
        <w:tc>
          <w:tcPr>
            <w:tcW w:w="2336" w:type="dxa"/>
          </w:tcPr>
          <w:p w:rsidR="009E7DFD" w:rsidRPr="00D45F2C" w:rsidRDefault="009E7DFD" w:rsidP="000B25A3">
            <w:pPr>
              <w:suppressAutoHyphens/>
              <w:jc w:val="center"/>
            </w:pPr>
          </w:p>
          <w:p w:rsidR="009E7DFD" w:rsidRPr="00D45F2C" w:rsidRDefault="009E7DFD" w:rsidP="000B25A3">
            <w:pPr>
              <w:suppressAutoHyphens/>
              <w:jc w:val="center"/>
            </w:pPr>
          </w:p>
          <w:p w:rsidR="009E7DFD" w:rsidRPr="00D45F2C" w:rsidRDefault="009E7DFD" w:rsidP="000B25A3">
            <w:pPr>
              <w:suppressAutoHyphens/>
              <w:jc w:val="center"/>
            </w:pPr>
          </w:p>
          <w:p w:rsidR="009E7DFD" w:rsidRPr="00D45F2C" w:rsidRDefault="009E7DFD" w:rsidP="000B25A3">
            <w:pPr>
              <w:suppressAutoHyphens/>
              <w:jc w:val="center"/>
            </w:pPr>
          </w:p>
          <w:p w:rsidR="009E7DFD" w:rsidRPr="00D45F2C" w:rsidRDefault="009E7DFD" w:rsidP="000B25A3">
            <w:pPr>
              <w:suppressAutoHyphens/>
              <w:jc w:val="center"/>
            </w:pPr>
          </w:p>
        </w:tc>
        <w:tc>
          <w:tcPr>
            <w:tcW w:w="2336" w:type="dxa"/>
          </w:tcPr>
          <w:p w:rsidR="009E7DFD" w:rsidRPr="00D45F2C" w:rsidRDefault="009E7DFD" w:rsidP="000B25A3">
            <w:pPr>
              <w:suppressAutoHyphens/>
            </w:pPr>
            <w:bookmarkStart w:id="3" w:name="SIGNERSTAMP1"/>
            <w:bookmarkEnd w:id="3"/>
          </w:p>
        </w:tc>
        <w:tc>
          <w:tcPr>
            <w:tcW w:w="2336" w:type="dxa"/>
          </w:tcPr>
          <w:p w:rsidR="009E7DFD" w:rsidRPr="00D45F2C" w:rsidRDefault="009E7DFD" w:rsidP="000B25A3">
            <w:pPr>
              <w:suppressAutoHyphens/>
              <w:jc w:val="center"/>
            </w:pPr>
          </w:p>
        </w:tc>
        <w:tc>
          <w:tcPr>
            <w:tcW w:w="2337" w:type="dxa"/>
          </w:tcPr>
          <w:p w:rsidR="009E7DFD" w:rsidRPr="00D45F2C" w:rsidRDefault="009E7DFD" w:rsidP="000B25A3">
            <w:pPr>
              <w:suppressAutoHyphens/>
              <w:jc w:val="center"/>
            </w:pPr>
          </w:p>
        </w:tc>
      </w:tr>
    </w:tbl>
    <w:p w:rsidR="009E7DFD" w:rsidRDefault="009E7DFD" w:rsidP="009E7DFD">
      <w:pPr>
        <w:suppressAutoHyphens/>
        <w:jc w:val="center"/>
      </w:pPr>
    </w:p>
    <w:tbl>
      <w:tblPr>
        <w:tblStyle w:val="a6"/>
        <w:tblpPr w:leftFromText="180" w:rightFromText="180" w:vertAnchor="text" w:horzAnchor="margin" w:tblpY="2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9"/>
      </w:tblGrid>
      <w:tr w:rsidR="00BA2FD5" w:rsidTr="0013192E">
        <w:trPr>
          <w:trHeight w:val="440"/>
        </w:trPr>
        <w:tc>
          <w:tcPr>
            <w:tcW w:w="3679" w:type="dxa"/>
          </w:tcPr>
          <w:p w:rsidR="00BA2FD5" w:rsidRDefault="00BA2FD5">
            <w:pPr>
              <w:rPr>
                <w:rFonts w:eastAsia="Calibri"/>
                <w:sz w:val="16"/>
              </w:rPr>
            </w:pPr>
            <w:bookmarkStart w:id="4" w:name="EXECUTOR"/>
            <w:bookmarkEnd w:id="4"/>
          </w:p>
          <w:p w:rsidR="00BA2FD5" w:rsidRDefault="00BA2FD5">
            <w:pPr>
              <w:rPr>
                <w:rFonts w:eastAsia="Calibri"/>
                <w:sz w:val="16"/>
              </w:rPr>
            </w:pPr>
          </w:p>
        </w:tc>
      </w:tr>
    </w:tbl>
    <w:p w:rsidR="00291A1E" w:rsidRPr="00291A1E" w:rsidRDefault="00291A1E" w:rsidP="00BA2FD5">
      <w:pPr>
        <w:suppressAutoHyphens/>
      </w:pPr>
    </w:p>
    <w:sectPr w:rsidR="00291A1E" w:rsidRPr="00291A1E" w:rsidSect="00525690">
      <w:pgSz w:w="11907" w:h="16840" w:code="9"/>
      <w:pgMar w:top="1134" w:right="567" w:bottom="709" w:left="851" w:header="454" w:footer="454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25F" w:rsidRDefault="008F325F">
      <w:r>
        <w:separator/>
      </w:r>
    </w:p>
  </w:endnote>
  <w:endnote w:type="continuationSeparator" w:id="0">
    <w:p w:rsidR="008F325F" w:rsidRDefault="008F3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25F" w:rsidRDefault="008F325F">
      <w:r>
        <w:separator/>
      </w:r>
    </w:p>
  </w:footnote>
  <w:footnote w:type="continuationSeparator" w:id="0">
    <w:p w:rsidR="008F325F" w:rsidRDefault="008F32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142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9F3"/>
    <w:rsid w:val="00006F56"/>
    <w:rsid w:val="00014A30"/>
    <w:rsid w:val="000402E4"/>
    <w:rsid w:val="00050C97"/>
    <w:rsid w:val="00060BB6"/>
    <w:rsid w:val="00061064"/>
    <w:rsid w:val="0006435B"/>
    <w:rsid w:val="0008235B"/>
    <w:rsid w:val="000A41D3"/>
    <w:rsid w:val="000B23F9"/>
    <w:rsid w:val="000B287F"/>
    <w:rsid w:val="000B2FB2"/>
    <w:rsid w:val="000C4897"/>
    <w:rsid w:val="000C742B"/>
    <w:rsid w:val="000E0634"/>
    <w:rsid w:val="000E4302"/>
    <w:rsid w:val="00127D1E"/>
    <w:rsid w:val="00127E4D"/>
    <w:rsid w:val="0013192E"/>
    <w:rsid w:val="0017140D"/>
    <w:rsid w:val="00177A8E"/>
    <w:rsid w:val="001857D7"/>
    <w:rsid w:val="001B0145"/>
    <w:rsid w:val="001B032F"/>
    <w:rsid w:val="001B5471"/>
    <w:rsid w:val="001B6343"/>
    <w:rsid w:val="001D1420"/>
    <w:rsid w:val="001E2082"/>
    <w:rsid w:val="00201E2B"/>
    <w:rsid w:val="00217616"/>
    <w:rsid w:val="002200BF"/>
    <w:rsid w:val="00223CE9"/>
    <w:rsid w:val="0024768E"/>
    <w:rsid w:val="00256E0F"/>
    <w:rsid w:val="00260931"/>
    <w:rsid w:val="002712B0"/>
    <w:rsid w:val="00277669"/>
    <w:rsid w:val="00291A1E"/>
    <w:rsid w:val="00293C19"/>
    <w:rsid w:val="002A0F5F"/>
    <w:rsid w:val="002B67E4"/>
    <w:rsid w:val="002D29D1"/>
    <w:rsid w:val="002E108C"/>
    <w:rsid w:val="002E449E"/>
    <w:rsid w:val="002F2855"/>
    <w:rsid w:val="00300478"/>
    <w:rsid w:val="0030560A"/>
    <w:rsid w:val="00313122"/>
    <w:rsid w:val="00325801"/>
    <w:rsid w:val="0035138A"/>
    <w:rsid w:val="00352E54"/>
    <w:rsid w:val="003979CE"/>
    <w:rsid w:val="003A4AA2"/>
    <w:rsid w:val="003A7C98"/>
    <w:rsid w:val="003B3423"/>
    <w:rsid w:val="003D028C"/>
    <w:rsid w:val="003F79F3"/>
    <w:rsid w:val="00406855"/>
    <w:rsid w:val="00420403"/>
    <w:rsid w:val="00430700"/>
    <w:rsid w:val="00447458"/>
    <w:rsid w:val="004521BA"/>
    <w:rsid w:val="00462829"/>
    <w:rsid w:val="00482B88"/>
    <w:rsid w:val="0049227E"/>
    <w:rsid w:val="004A6B7C"/>
    <w:rsid w:val="004B2865"/>
    <w:rsid w:val="004B344F"/>
    <w:rsid w:val="004C06FC"/>
    <w:rsid w:val="004D169C"/>
    <w:rsid w:val="004D2A80"/>
    <w:rsid w:val="004E1B74"/>
    <w:rsid w:val="004F2276"/>
    <w:rsid w:val="005028DC"/>
    <w:rsid w:val="00525690"/>
    <w:rsid w:val="005400A0"/>
    <w:rsid w:val="00543258"/>
    <w:rsid w:val="00545E58"/>
    <w:rsid w:val="0056166D"/>
    <w:rsid w:val="00577CDD"/>
    <w:rsid w:val="005823D4"/>
    <w:rsid w:val="00586C80"/>
    <w:rsid w:val="005901B1"/>
    <w:rsid w:val="00596838"/>
    <w:rsid w:val="005B1D8D"/>
    <w:rsid w:val="005F0FB2"/>
    <w:rsid w:val="00602985"/>
    <w:rsid w:val="006153BE"/>
    <w:rsid w:val="00623950"/>
    <w:rsid w:val="00623C36"/>
    <w:rsid w:val="00630722"/>
    <w:rsid w:val="006322B7"/>
    <w:rsid w:val="0065390E"/>
    <w:rsid w:val="00653BD8"/>
    <w:rsid w:val="00666ECC"/>
    <w:rsid w:val="00682C49"/>
    <w:rsid w:val="006A04AB"/>
    <w:rsid w:val="006D1509"/>
    <w:rsid w:val="006E1649"/>
    <w:rsid w:val="006E484E"/>
    <w:rsid w:val="00707051"/>
    <w:rsid w:val="007163D4"/>
    <w:rsid w:val="0072004B"/>
    <w:rsid w:val="00744FF4"/>
    <w:rsid w:val="00763BF1"/>
    <w:rsid w:val="00770EDE"/>
    <w:rsid w:val="00772240"/>
    <w:rsid w:val="00782E2C"/>
    <w:rsid w:val="0079133C"/>
    <w:rsid w:val="007A4E01"/>
    <w:rsid w:val="007E339B"/>
    <w:rsid w:val="007E6D8D"/>
    <w:rsid w:val="007F1CDD"/>
    <w:rsid w:val="00805ED9"/>
    <w:rsid w:val="0080750E"/>
    <w:rsid w:val="0082469A"/>
    <w:rsid w:val="00835C39"/>
    <w:rsid w:val="008454F7"/>
    <w:rsid w:val="00856FF6"/>
    <w:rsid w:val="00862838"/>
    <w:rsid w:val="00871007"/>
    <w:rsid w:val="00877B84"/>
    <w:rsid w:val="008826D7"/>
    <w:rsid w:val="008872D2"/>
    <w:rsid w:val="0088736D"/>
    <w:rsid w:val="008A2404"/>
    <w:rsid w:val="008B1A29"/>
    <w:rsid w:val="008B604D"/>
    <w:rsid w:val="008C454A"/>
    <w:rsid w:val="008C4FBA"/>
    <w:rsid w:val="008E5D4A"/>
    <w:rsid w:val="008F0B1C"/>
    <w:rsid w:val="008F325F"/>
    <w:rsid w:val="00906EDC"/>
    <w:rsid w:val="0095356F"/>
    <w:rsid w:val="00970E35"/>
    <w:rsid w:val="009830F3"/>
    <w:rsid w:val="009A08E2"/>
    <w:rsid w:val="009A32CE"/>
    <w:rsid w:val="009B6987"/>
    <w:rsid w:val="009C5963"/>
    <w:rsid w:val="009D38DA"/>
    <w:rsid w:val="009D3AEC"/>
    <w:rsid w:val="009E5FF2"/>
    <w:rsid w:val="009E7DFD"/>
    <w:rsid w:val="009F4C52"/>
    <w:rsid w:val="00A02D87"/>
    <w:rsid w:val="00A13AE5"/>
    <w:rsid w:val="00A35C5E"/>
    <w:rsid w:val="00A41087"/>
    <w:rsid w:val="00A51CA0"/>
    <w:rsid w:val="00A56B89"/>
    <w:rsid w:val="00A57372"/>
    <w:rsid w:val="00A70ADD"/>
    <w:rsid w:val="00A71854"/>
    <w:rsid w:val="00A73A1A"/>
    <w:rsid w:val="00A75437"/>
    <w:rsid w:val="00A87DB3"/>
    <w:rsid w:val="00A92093"/>
    <w:rsid w:val="00AA3E70"/>
    <w:rsid w:val="00AC1355"/>
    <w:rsid w:val="00AD1526"/>
    <w:rsid w:val="00AF0C5C"/>
    <w:rsid w:val="00B015B8"/>
    <w:rsid w:val="00B03D73"/>
    <w:rsid w:val="00B04322"/>
    <w:rsid w:val="00B4081F"/>
    <w:rsid w:val="00B56B2F"/>
    <w:rsid w:val="00B87226"/>
    <w:rsid w:val="00BA2FD5"/>
    <w:rsid w:val="00BA7490"/>
    <w:rsid w:val="00BB2953"/>
    <w:rsid w:val="00BC0DB0"/>
    <w:rsid w:val="00BC3728"/>
    <w:rsid w:val="00BC7987"/>
    <w:rsid w:val="00BD3F68"/>
    <w:rsid w:val="00BD721D"/>
    <w:rsid w:val="00BF49DE"/>
    <w:rsid w:val="00C173A3"/>
    <w:rsid w:val="00C22CD5"/>
    <w:rsid w:val="00C42818"/>
    <w:rsid w:val="00C641C2"/>
    <w:rsid w:val="00C87109"/>
    <w:rsid w:val="00CA047E"/>
    <w:rsid w:val="00CA186A"/>
    <w:rsid w:val="00CB45A1"/>
    <w:rsid w:val="00CE1339"/>
    <w:rsid w:val="00CE180C"/>
    <w:rsid w:val="00CF1C95"/>
    <w:rsid w:val="00D035F1"/>
    <w:rsid w:val="00D31BB1"/>
    <w:rsid w:val="00D54C64"/>
    <w:rsid w:val="00D9040E"/>
    <w:rsid w:val="00DE45EE"/>
    <w:rsid w:val="00DE669D"/>
    <w:rsid w:val="00E109F6"/>
    <w:rsid w:val="00E21198"/>
    <w:rsid w:val="00E31429"/>
    <w:rsid w:val="00E34335"/>
    <w:rsid w:val="00E370BD"/>
    <w:rsid w:val="00E7386C"/>
    <w:rsid w:val="00E73A67"/>
    <w:rsid w:val="00E90CD5"/>
    <w:rsid w:val="00E93E94"/>
    <w:rsid w:val="00E95715"/>
    <w:rsid w:val="00EA7600"/>
    <w:rsid w:val="00EC2399"/>
    <w:rsid w:val="00ED0808"/>
    <w:rsid w:val="00ED10F8"/>
    <w:rsid w:val="00F051F2"/>
    <w:rsid w:val="00F1051E"/>
    <w:rsid w:val="00F12836"/>
    <w:rsid w:val="00F1444E"/>
    <w:rsid w:val="00F267CD"/>
    <w:rsid w:val="00F51A3E"/>
    <w:rsid w:val="00F60283"/>
    <w:rsid w:val="00F620EE"/>
    <w:rsid w:val="00F73700"/>
    <w:rsid w:val="00F81707"/>
    <w:rsid w:val="00F972C1"/>
    <w:rsid w:val="00FB6CC0"/>
    <w:rsid w:val="00FB785D"/>
    <w:rsid w:val="00FD1A74"/>
    <w:rsid w:val="00FD1FC1"/>
    <w:rsid w:val="00FF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rsid w:val="002E108C"/>
    <w:pPr>
      <w:keepNext/>
      <w:jc w:val="center"/>
      <w:outlineLvl w:val="0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customStyle="1" w:styleId="11">
    <w:name w:val="Цитата1"/>
    <w:basedOn w:val="a"/>
    <w:pPr>
      <w:spacing w:before="160" w:after="480" w:line="240" w:lineRule="exact"/>
      <w:ind w:left="57" w:right="4820"/>
      <w:jc w:val="both"/>
    </w:pPr>
  </w:style>
  <w:style w:type="table" w:styleId="a6">
    <w:name w:val="Table Grid"/>
    <w:basedOn w:val="a1"/>
    <w:rsid w:val="00586C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7E6D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B6CC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8">
    <w:name w:val="Hyperlink"/>
    <w:basedOn w:val="a0"/>
    <w:rsid w:val="00291A1E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2E108C"/>
    <w:rPr>
      <w:b/>
      <w:sz w:val="26"/>
    </w:rPr>
  </w:style>
  <w:style w:type="paragraph" w:styleId="a9">
    <w:name w:val="List Paragraph"/>
    <w:basedOn w:val="a"/>
    <w:uiPriority w:val="34"/>
    <w:qFormat/>
    <w:rsid w:val="009E5F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rsid w:val="002E108C"/>
    <w:pPr>
      <w:keepNext/>
      <w:jc w:val="center"/>
      <w:outlineLvl w:val="0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customStyle="1" w:styleId="11">
    <w:name w:val="Цитата1"/>
    <w:basedOn w:val="a"/>
    <w:pPr>
      <w:spacing w:before="160" w:after="480" w:line="240" w:lineRule="exact"/>
      <w:ind w:left="57" w:right="4820"/>
      <w:jc w:val="both"/>
    </w:pPr>
  </w:style>
  <w:style w:type="table" w:styleId="a6">
    <w:name w:val="Table Grid"/>
    <w:basedOn w:val="a1"/>
    <w:rsid w:val="00586C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7E6D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B6CC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8">
    <w:name w:val="Hyperlink"/>
    <w:basedOn w:val="a0"/>
    <w:rsid w:val="00291A1E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2E108C"/>
    <w:rPr>
      <w:b/>
      <w:sz w:val="26"/>
    </w:rPr>
  </w:style>
  <w:style w:type="paragraph" w:styleId="a9">
    <w:name w:val="List Paragraph"/>
    <w:basedOn w:val="a"/>
    <w:uiPriority w:val="34"/>
    <w:qFormat/>
    <w:rsid w:val="009E5F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1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A726CD850C6124EA5E1285C2704ACAF" ma:contentTypeVersion="0" ma:contentTypeDescription="Создание документа." ma:contentTypeScope="" ma:versionID="2fac7c2e50939f1770581a44ef649fcd">
  <xsd:schema xmlns:xsd="http://www.w3.org/2001/XMLSchema" xmlns:xs="http://www.w3.org/2001/XMLSchema" xmlns:p="http://schemas.microsoft.com/office/2006/metadata/properties" xmlns:ns2="0610b265-b51e-4be1-ae61-790323ddb9f7" targetNamespace="http://schemas.microsoft.com/office/2006/metadata/properties" ma:root="true" ma:fieldsID="afb2245a8354bbbac4b0f4d042c99280" ns2:_="">
    <xsd:import namespace="0610b265-b51e-4be1-ae61-790323ddb9f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10b265-b51e-4be1-ae61-790323ddb9f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C89718-7036-4FA8-A3CD-0B4A3C26E76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B47B968-6382-4718-80C4-0620D56E77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10b265-b51e-4be1-ae61-790323ddb9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D7551D-D1D5-40F9-B928-A02F472D29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7FBEC70-3539-45DA-A459-308EFCA2B2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И77</vt:lpstr>
    </vt:vector>
  </TitlesOfParts>
  <Company>Управление информационного и документационного обеспечения</Company>
  <LinksUpToDate>false</LinksUpToDate>
  <CharactersWithSpaces>6057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И77</dc:title>
  <dc:creator>User</dc:creator>
  <cp:lastModifiedBy>123</cp:lastModifiedBy>
  <cp:revision>2</cp:revision>
  <cp:lastPrinted>2007-01-30T02:36:00Z</cp:lastPrinted>
  <dcterms:created xsi:type="dcterms:W3CDTF">2023-06-02T05:14:00Z</dcterms:created>
  <dcterms:modified xsi:type="dcterms:W3CDTF">2023-06-02T05:14:00Z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0x0101003A726CD850C6124EA5E1285C2704ACAF</vt:lpwstr>
  </property>
</Properties>
</file>